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i w:val="0"/>
          <w:iCs w:val="0"/>
          <w:caps w:val="0"/>
          <w:color w:val="333333"/>
          <w:spacing w:val="-11"/>
          <w:sz w:val="44"/>
          <w:szCs w:val="44"/>
          <w:shd w:val="clear" w:fill="FFFFFF"/>
        </w:rPr>
      </w:pPr>
      <w:r>
        <w:rPr>
          <w:rFonts w:ascii="方正小标宋简体" w:hAnsi="方正小标宋简体" w:eastAsia="方正小标宋简体" w:cs="方正小标宋简体"/>
          <w:i w:val="0"/>
          <w:iCs w:val="0"/>
          <w:caps w:val="0"/>
          <w:color w:val="333333"/>
          <w:spacing w:val="-11"/>
          <w:sz w:val="44"/>
          <w:szCs w:val="44"/>
          <w:shd w:val="clear" w:fill="FFFFFF"/>
        </w:rPr>
        <w:t>分类推进装配式建筑</w:t>
      </w:r>
      <w:r>
        <w:rPr>
          <w:rFonts w:hint="default" w:ascii="方正小标宋简体" w:hAnsi="方正小标宋简体" w:eastAsia="方正小标宋简体" w:cs="方正小标宋简体"/>
          <w:i w:val="0"/>
          <w:iCs w:val="0"/>
          <w:caps w:val="0"/>
          <w:color w:val="333333"/>
          <w:spacing w:val="-11"/>
          <w:sz w:val="44"/>
          <w:szCs w:val="44"/>
          <w:shd w:val="clear" w:fill="FFFFFF"/>
        </w:rPr>
        <w:t>“六个一”内容清单</w:t>
      </w:r>
    </w:p>
    <w:p>
      <w:pPr>
        <w:jc w:val="center"/>
        <w:rPr>
          <w:rFonts w:ascii="黑体" w:hAnsi="宋体" w:eastAsia="黑体" w:cs="黑体"/>
          <w:i w:val="0"/>
          <w:iCs w:val="0"/>
          <w:caps w:val="0"/>
          <w:color w:val="333333"/>
          <w:spacing w:val="0"/>
          <w:sz w:val="32"/>
          <w:szCs w:val="32"/>
          <w:shd w:val="clear" w:fill="FFFFFF"/>
        </w:rPr>
      </w:pPr>
      <w:r>
        <w:rPr>
          <w:rFonts w:ascii="黑体" w:hAnsi="宋体" w:eastAsia="黑体" w:cs="黑体"/>
          <w:i w:val="0"/>
          <w:iCs w:val="0"/>
          <w:caps w:val="0"/>
          <w:color w:val="333333"/>
          <w:spacing w:val="0"/>
          <w:sz w:val="32"/>
          <w:szCs w:val="32"/>
          <w:shd w:val="clear" w:fill="FFFFFF"/>
        </w:rPr>
        <w:t>装配式绿色农房</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装配式绿色农房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04" w:hRule="atLeast"/>
        </w:trPr>
        <w:tc>
          <w:tcPr>
            <w:tcW w:w="800" w:type="dxa"/>
          </w:tcPr>
          <w:p>
            <w:pPr>
              <w:spacing w:line="480" w:lineRule="auto"/>
              <w:jc w:val="both"/>
              <w:rPr>
                <w:rFonts w:hint="default" w:ascii="宋体" w:hAnsi="宋体" w:eastAsia="宋体" w:cs="宋体"/>
                <w:i w:val="0"/>
                <w:iCs w:val="0"/>
                <w:caps w:val="0"/>
                <w:color w:val="333333"/>
                <w:spacing w:val="0"/>
                <w:sz w:val="24"/>
                <w:szCs w:val="24"/>
                <w:shd w:val="clear" w:fill="FFFFFF"/>
                <w:vertAlign w:val="baseline"/>
                <w:lang w:val="en-US" w:eastAsia="zh-CN"/>
              </w:rPr>
            </w:pPr>
          </w:p>
          <w:p>
            <w:pPr>
              <w:jc w:val="center"/>
              <w:rPr>
                <w:rFonts w:hint="default" w:ascii="宋体" w:hAnsi="宋体" w:eastAsia="宋体" w:cs="宋体"/>
                <w:i w:val="0"/>
                <w:iCs w:val="0"/>
                <w:caps w:val="0"/>
                <w:color w:val="333333"/>
                <w:spacing w:val="0"/>
                <w:sz w:val="24"/>
                <w:szCs w:val="24"/>
                <w:shd w:val="clear" w:fill="FFFFFF"/>
                <w:lang w:val="en-US" w:eastAsia="zh-CN"/>
              </w:rPr>
            </w:pPr>
          </w:p>
          <w:p>
            <w:pPr>
              <w:spacing w:line="480" w:lineRule="auto"/>
              <w:jc w:val="center"/>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8"/>
                <w:szCs w:val="28"/>
                <w:shd w:val="clear" w:fill="FFFFFF"/>
                <w:vertAlign w:val="baseline"/>
                <w:lang w:eastAsia="zh-CN"/>
              </w:rPr>
              <w:tab/>
            </w:r>
            <w:r>
              <w:rPr>
                <w:rFonts w:hint="eastAsia" w:ascii="宋体" w:hAnsi="宋体" w:eastAsia="宋体" w:cs="宋体"/>
                <w:i w:val="0"/>
                <w:iCs w:val="0"/>
                <w:caps w:val="0"/>
                <w:color w:val="333333"/>
                <w:spacing w:val="0"/>
                <w:sz w:val="24"/>
                <w:szCs w:val="24"/>
                <w:bdr w:val="none" w:color="auto" w:sz="0" w:space="0"/>
                <w:shd w:val="clear" w:fill="FFFFFF"/>
              </w:rPr>
              <w:t>1.推广陶粒混凝土复合密肋板结构体系、钢筋混凝土墙板结构体系、超高性能混凝土集成模块建筑、轻钢复合墙体结构体系、钢混模块化建筑等创新技术。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lang w:eastAsia="zh-CN"/>
              </w:rPr>
            </w:pPr>
            <w:r>
              <w:rPr>
                <w:rFonts w:hint="eastAsia" w:ascii="宋体" w:hAnsi="宋体" w:eastAsia="宋体" w:cs="宋体"/>
                <w:i w:val="0"/>
                <w:iCs w:val="0"/>
                <w:caps w:val="0"/>
                <w:color w:val="333333"/>
                <w:spacing w:val="0"/>
                <w:sz w:val="24"/>
                <w:szCs w:val="24"/>
                <w:bdr w:val="none" w:color="auto" w:sz="0" w:space="0"/>
                <w:shd w:val="clear" w:fill="FFFFFF"/>
              </w:rPr>
              <w:t>2.推广分布式光伏、浅层地热能与农房一体化建设应用技术，建设低碳绿色农房。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4"/>
                <w:szCs w:val="24"/>
                <w:shd w:val="clear" w:fill="FFFFFF"/>
                <w:vertAlign w:val="baseline"/>
                <w:lang w:val="en-US" w:eastAsia="zh-CN"/>
              </w:rPr>
            </w:pPr>
          </w:p>
          <w:p>
            <w:pPr>
              <w:jc w:val="center"/>
              <w:rPr>
                <w:rFonts w:hint="eastAsia" w:ascii="宋体" w:hAnsi="宋体" w:eastAsia="宋体" w:cs="宋体"/>
                <w:i w:val="0"/>
                <w:iCs w:val="0"/>
                <w:caps w:val="0"/>
                <w:color w:val="333333"/>
                <w:spacing w:val="0"/>
                <w:sz w:val="24"/>
                <w:szCs w:val="24"/>
                <w:shd w:val="clear" w:fill="FFFFFF"/>
                <w:vertAlign w:val="baseline"/>
                <w:lang w:val="en-US" w:eastAsia="zh-CN"/>
              </w:rPr>
            </w:pPr>
          </w:p>
          <w:p>
            <w:pPr>
              <w:jc w:val="center"/>
              <w:rPr>
                <w:rFonts w:hint="eastAsia" w:ascii="宋体" w:hAnsi="宋体" w:eastAsia="宋体" w:cs="宋体"/>
                <w:i w:val="0"/>
                <w:iCs w:val="0"/>
                <w:caps w:val="0"/>
                <w:color w:val="333333"/>
                <w:spacing w:val="0"/>
                <w:sz w:val="24"/>
                <w:szCs w:val="24"/>
                <w:shd w:val="clear" w:fill="FFFFFF"/>
                <w:vertAlign w:val="baseline"/>
                <w:lang w:val="en-US" w:eastAsia="zh-CN"/>
              </w:rPr>
            </w:pPr>
          </w:p>
          <w:p>
            <w:p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1.根据技术体系编制装配式绿色农房标准图集。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2.组织装配式绿色农房设计竞赛，将优秀设计作品纳入标准图集，形成开放的标准图集库。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3.按装配式绿色农房建筑面积、功能布局和结构形式，对图库中标准化系列产品价格进行明码标价，形成标准产品库。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8"/>
                <w:szCs w:val="28"/>
                <w:shd w:val="clear" w:fill="FFFFFF"/>
                <w:vertAlign w:val="baseline"/>
              </w:rPr>
            </w:pPr>
          </w:p>
          <w:p>
            <w:pPr>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1.研究制定装配式建筑绿色农房标准化审批流程，选用装配式绿色农房标准图集的，基础以上免施工图审查程序，简化过程监督程序。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2.推动装配式绿色农房企业购买农房质量保险。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4</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1.支持拥有成熟技术体系，具备设计、生产、施工、运维整房建造能力的装配式绿色农房企业发展为龙头企业。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2.培育不少于5家龙头企业，支持1-2家上市企业，实现产值百亿元。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2.产业联盟加强绿色农房技术研发，促进技术迭代升级、产业互补融合，不断降本提质增效。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3.根据装配式绿色农房建设需求和运输半径，合理布局全省装配式绿色农房基地，2024年，在全省布局5个装配式绿色农房生产基地，2025年，新增15个基地，争取在全省十四个市州至少有一个装配式绿色农房生产基地。2026年，在省内外新布局30个装配式绿色农房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6</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1.开展装配式绿色农房试点县市建设。支持各地开展试点建设，并将建设任务纳入绩效考核指标内容。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2.推动拆迁安置、易地搬迁、乡村振兴等统规统建农房项目采用装配式绿色农房标准图集建设，打造集中连片绿色农房小区。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3.在桃江县组织召开全省装配式绿色农房现场推进会。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14" w:hRule="atLeast"/>
        </w:trPr>
        <w:tc>
          <w:tcPr>
            <w:tcW w:w="800" w:type="dxa"/>
          </w:tcPr>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7</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1.对符合条件的装配式绿色农房企业，研究发放整房建造证。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2.将装配式绿色农房纳入设备更新、以旧换新支持政策范围，推动装配式绿色农房商业按揭贷款政策出台。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0" w:type="dxa"/>
          </w:tcPr>
          <w:p>
            <w:pPr>
              <w:jc w:val="center"/>
              <w:rPr>
                <w:rFonts w:hint="eastAsia" w:ascii="宋体" w:hAnsi="宋体" w:eastAsia="宋体" w:cs="宋体"/>
                <w:i w:val="0"/>
                <w:iCs w:val="0"/>
                <w:caps w:val="0"/>
                <w:color w:val="333333"/>
                <w:spacing w:val="0"/>
                <w:sz w:val="24"/>
                <w:szCs w:val="24"/>
                <w:shd w:val="clear" w:fill="FFFFFF"/>
                <w:lang w:val="en-US" w:eastAsia="zh-CN"/>
              </w:rPr>
            </w:pPr>
          </w:p>
          <w:p>
            <w:pPr>
              <w:jc w:val="center"/>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8</w:t>
            </w:r>
          </w:p>
        </w:tc>
        <w:tc>
          <w:tcPr>
            <w:tcW w:w="1834" w:type="dxa"/>
          </w:tcPr>
          <w:p>
            <w:pPr>
              <w:jc w:val="center"/>
              <w:rPr>
                <w:rFonts w:hint="eastAsia" w:ascii="宋体" w:hAnsi="宋体" w:eastAsia="宋体" w:cs="宋体"/>
                <w:i w:val="0"/>
                <w:iCs w:val="0"/>
                <w:caps w:val="0"/>
                <w:color w:val="333333"/>
                <w:spacing w:val="0"/>
                <w:sz w:val="24"/>
                <w:szCs w:val="24"/>
                <w:shd w:val="clear" w:fill="FFFFFF"/>
              </w:rPr>
            </w:pPr>
          </w:p>
          <w:p>
            <w:pPr>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1.2024年完成1000套装配式绿色农房建</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设，产值实现5亿元。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2.2025年完成10000套，产值实现50亿元。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both"/>
              <w:rPr>
                <w:rFonts w:hint="eastAsia" w:ascii="宋体" w:hAnsi="宋体" w:eastAsia="宋体" w:cs="宋体"/>
                <w:i w:val="0"/>
                <w:iCs w:val="0"/>
                <w:caps w:val="0"/>
                <w:color w:val="333333"/>
                <w:spacing w:val="0"/>
                <w:sz w:val="28"/>
                <w:szCs w:val="28"/>
                <w:shd w:val="clear" w:fill="FFFFFF"/>
                <w:vertAlign w:val="baseline"/>
              </w:rPr>
            </w:pPr>
            <w:r>
              <w:rPr>
                <w:rFonts w:hint="eastAsia" w:ascii="宋体" w:hAnsi="宋体" w:eastAsia="宋体" w:cs="宋体"/>
                <w:i w:val="0"/>
                <w:iCs w:val="0"/>
                <w:caps w:val="0"/>
                <w:color w:val="333333"/>
                <w:spacing w:val="0"/>
                <w:sz w:val="24"/>
                <w:szCs w:val="24"/>
                <w:bdr w:val="none" w:color="auto" w:sz="0" w:space="0"/>
                <w:shd w:val="clear" w:fill="FFFFFF"/>
              </w:rPr>
              <w:t>3.2026年完成30000套，产值实现150亿元。</w:t>
            </w:r>
          </w:p>
        </w:tc>
      </w:tr>
    </w:tbl>
    <w:p>
      <w:pPr>
        <w:jc w:val="center"/>
        <w:rPr>
          <w:rFonts w:ascii="黑体" w:hAnsi="宋体" w:eastAsia="黑体" w:cs="黑体"/>
          <w:i w:val="0"/>
          <w:iCs w:val="0"/>
          <w:caps w:val="0"/>
          <w:color w:val="333333"/>
          <w:spacing w:val="0"/>
          <w:sz w:val="32"/>
          <w:szCs w:val="32"/>
          <w:shd w:val="clear" w:fill="FFFFFF"/>
        </w:rPr>
      </w:pPr>
      <w:r>
        <w:rPr>
          <w:rFonts w:ascii="黑体" w:hAnsi="宋体" w:eastAsia="黑体" w:cs="黑体"/>
          <w:i w:val="0"/>
          <w:iCs w:val="0"/>
          <w:caps w:val="0"/>
          <w:color w:val="333333"/>
          <w:spacing w:val="0"/>
          <w:sz w:val="32"/>
          <w:szCs w:val="32"/>
          <w:shd w:val="clear" w:fill="FFFFFF"/>
        </w:rPr>
        <w:t>集体公寓（宿舍）</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集体公寓（宿舍）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1</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1.推广装配整体式混凝土结构体系、全装配式混凝土墙板结构体系、装配整体式混凝土叠合结构技术体系。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2.推广钢结构技术体系应用。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3.推广简支模免拆模、结构功能一体化、装配化装修等共性通用技术。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4.推广机电设备一体化、管线分离、整体集成式厨房卫浴。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2</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1.对现有高校学生宿舍标准产品图集进行优化和扩充，形成开放式标准图集，并向其他领域的公寓扩展。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2.编制钢结构高校学生宿舍图集，并推广应用到其他领域的公寓项目。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3.将原有芙蓉学校、特立学校建设图集修订为装配式建筑标准图集，纳入学校类标准化图集库。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3</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1.在高校学生宿舍全过程标准化审批流程基础上，研究制定集体公寓（宿舍）装配式建筑标准化审批程序。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研究初步设计审批、施工图审查“两审合一”，初步设计概</w:t>
            </w:r>
            <w:r>
              <w:rPr>
                <w:rFonts w:hint="eastAsia" w:ascii="宋体" w:hAnsi="宋体" w:eastAsia="宋体" w:cs="宋体"/>
                <w:i w:val="0"/>
                <w:iCs w:val="0"/>
                <w:caps w:val="0"/>
                <w:color w:val="000000"/>
                <w:spacing w:val="-6"/>
                <w:sz w:val="24"/>
                <w:szCs w:val="24"/>
                <w:bdr w:val="none" w:color="auto" w:sz="0" w:space="0"/>
                <w:shd w:val="clear" w:fill="FFFFFF"/>
              </w:rPr>
              <w:t>算、施工图预算同步推进，优化审批流程，分阶段办理施工许可。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4</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1.支持技术体系成熟可靠，具备设计、生产、施工、运维全过程标准化建造能力的企业发展为龙头企业。 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2.推广成熟可靠装配式建筑技术体系，在现有特、一级施工总承包企业中培育一批总承包龙头企业。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5</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2.产业联盟组织研究免支撑免拆模、简支撑免支模、结构功能（保温、隔声、装饰等）一体化、集成化程度高的技术。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3.推进装配式建筑EMPC工程总承包交钥匙工程。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4.2024年，新布局结构功能一体化生产基地3家，2026年，达到10家，并向省外拓展。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6</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1.在省属高校学生宿舍中打造一批装配式建筑全过程标准化“示范工程”和“样板工程”。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2.在湖南师大桃花坪校区组织召开集体公寓装配式建筑现场推进会。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3.推动学校、医院、工业园区等其他建筑类型集体公寓项目采用装配式建筑标准化建造体系。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7</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1.支持装配式集体公寓项目在省优质工程、芙蓉奖评选中予以加分。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2.研究出台装配式集体公寓（宿舍）EMPC工程总承包支持政策。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8</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1.2024年长沙市采用标准化模式建设集体公寓（宿舍）的面积比例达到80%，省内其他市州应用面积达到50%，应用面积超过80万平方米。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2.2025年全省集体公寓（宿舍）基本采用标准化模式建设。推动龙头企业出省承揽标准化装配式集体公寓（宿舍）项目。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3.2026年，全省集体公寓（宿舍）项目产值突破100亿元。</w:t>
            </w:r>
          </w:p>
        </w:tc>
      </w:tr>
    </w:tbl>
    <w:p>
      <w:pPr>
        <w:jc w:val="center"/>
        <w:rPr>
          <w:rFonts w:hint="default" w:ascii="黑体" w:hAnsi="宋体" w:eastAsia="黑体" w:cs="黑体"/>
          <w:i w:val="0"/>
          <w:iCs w:val="0"/>
          <w:caps w:val="0"/>
          <w:color w:val="333333"/>
          <w:spacing w:val="0"/>
          <w:sz w:val="32"/>
          <w:szCs w:val="32"/>
          <w:shd w:val="clear" w:fill="FFFFFF"/>
        </w:rPr>
      </w:pPr>
    </w:p>
    <w:p>
      <w:pPr>
        <w:jc w:val="center"/>
        <w:rPr>
          <w:rFonts w:hint="default"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保障性用房</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保障性住房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1</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1.推广装配整体式混凝土结构、装配整体式混凝土叠合结构等混凝土结构体系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2.推广钢管束组合结构、钢框架结构、包覆钢-混凝土组合等钢结构体系。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3.推广结构功能一体化围护墙、叠合板、装配化装修等共性通用技术。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4.推广机电设备一体化、管线分离、整体集成式厨房卫浴等产品化技术。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2</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1.根据技术体系、居住需求和政策特点，编制系列模块化装配式保障性住房图集，形成开放的标准图集库。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2.推行模块组合方式，满足建筑组合、层数和空间的多样性需求。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480" w:lineRule="auto"/>
              <w:ind w:firstLine="240" w:firstLineChars="100"/>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3</w:t>
            </w:r>
          </w:p>
        </w:tc>
        <w:tc>
          <w:tcPr>
            <w:tcW w:w="1834" w:type="dxa"/>
          </w:tcPr>
          <w:p>
            <w:pPr>
              <w:spacing w:line="48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保障性住房装配式建筑标准化建设审批流程参照集体公寓（宿舍）全过程标准化审批执行。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4</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1.支持技术体系成熟可靠，具备设计、生产、施工、</w:t>
            </w:r>
            <w:r>
              <w:rPr>
                <w:rFonts w:hint="eastAsia" w:ascii="宋体" w:hAnsi="宋体" w:eastAsia="宋体" w:cs="宋体"/>
                <w:i w:val="0"/>
                <w:iCs w:val="0"/>
                <w:caps w:val="0"/>
                <w:color w:val="333333"/>
                <w:spacing w:val="0"/>
                <w:sz w:val="24"/>
                <w:szCs w:val="24"/>
                <w:shd w:val="clear" w:fill="FFFFFF"/>
              </w:rPr>
              <w:t>运维全过程标准化建造能力的企业发展为龙头企业。</w:t>
            </w: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2.推广成熟可靠装配式建筑技术体系，在现有特、一级施工总承包企业中培育一批总承包龙头企业。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5</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1.支持龙头企业牵头建立产业联盟。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2.产业联盟组织研究免支撑免拆模、简支撑免支模、结构功能（保温、隔声、装饰等）一体化、集成化程度高的技术。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shd w:val="clear" w:fill="FFFFFF"/>
              </w:rPr>
              <w:t>3.推进装配式建筑EMPC工程总承包交钥匙工程。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rPr>
              <w:t>统筹全省装配式建筑生产基地，进一步优化保障性住房产品产业链工业化协同度，提供精度更高的保障性住房产品构件和部品部件。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6</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1.在长沙市组织召开保障性住房装配式建筑现场推进会。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2.在长沙市德尚苑等配售型保障性住房建设打造示范场景。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3.加强政府、开发单位、装配式建筑企业、金融机构等各方合作，打造一批装配式保障性住房示范项目。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7</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1.研究装配式保障性住房项目容积率核算优惠政策。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2.支持装配式保障性住房项目在省优质工程、芙蓉奖评选中予以加分。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00" w:type="dxa"/>
          </w:tcPr>
          <w:p>
            <w:pPr>
              <w:spacing w:line="360" w:lineRule="auto"/>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8</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left"/>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1.2024年，建设装配式保障性住房1000套，产值达5亿元。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2.2025年，建设装配式保障性住房5000套，产值达25亿元。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3.2026年，建设装配式保障性住房10000套，产值达50亿元。</w:t>
            </w:r>
          </w:p>
        </w:tc>
      </w:tr>
    </w:tbl>
    <w:p>
      <w:pPr>
        <w:jc w:val="center"/>
        <w:rPr>
          <w:rFonts w:hint="default" w:ascii="黑体" w:hAnsi="宋体" w:eastAsia="黑体" w:cs="黑体"/>
          <w:i w:val="0"/>
          <w:iCs w:val="0"/>
          <w:caps w:val="0"/>
          <w:color w:val="333333"/>
          <w:spacing w:val="0"/>
          <w:sz w:val="32"/>
          <w:szCs w:val="32"/>
          <w:shd w:val="clear" w:fill="FFFFFF"/>
        </w:rPr>
      </w:pPr>
    </w:p>
    <w:p>
      <w:pPr>
        <w:jc w:val="center"/>
        <w:rPr>
          <w:rFonts w:hint="default" w:ascii="黑体" w:hAnsi="宋体" w:eastAsia="黑体" w:cs="黑体"/>
          <w:i w:val="0"/>
          <w:iCs w:val="0"/>
          <w:caps w:val="0"/>
          <w:color w:val="333333"/>
          <w:spacing w:val="0"/>
          <w:sz w:val="32"/>
          <w:szCs w:val="32"/>
          <w:shd w:val="clear" w:fill="FFFFFF"/>
        </w:rPr>
      </w:pPr>
    </w:p>
    <w:p>
      <w:pPr>
        <w:jc w:val="both"/>
        <w:rPr>
          <w:rFonts w:hint="default" w:ascii="黑体" w:hAnsi="宋体" w:eastAsia="黑体" w:cs="黑体"/>
          <w:i w:val="0"/>
          <w:iCs w:val="0"/>
          <w:caps w:val="0"/>
          <w:color w:val="333333"/>
          <w:spacing w:val="0"/>
          <w:sz w:val="32"/>
          <w:szCs w:val="32"/>
          <w:shd w:val="clear" w:fill="FFFFFF"/>
        </w:rPr>
      </w:pPr>
    </w:p>
    <w:p>
      <w:pPr>
        <w:jc w:val="center"/>
        <w:rPr>
          <w:rFonts w:ascii="黑体" w:hAnsi="宋体" w:eastAsia="黑体" w:cs="黑体"/>
          <w:i w:val="0"/>
          <w:iCs w:val="0"/>
          <w:caps w:val="0"/>
          <w:color w:val="333333"/>
          <w:spacing w:val="0"/>
          <w:sz w:val="32"/>
          <w:szCs w:val="32"/>
          <w:shd w:val="clear" w:fill="FFFFFF"/>
        </w:rPr>
      </w:pPr>
      <w:r>
        <w:rPr>
          <w:rFonts w:ascii="黑体" w:hAnsi="宋体" w:eastAsia="黑体" w:cs="黑体"/>
          <w:i w:val="0"/>
          <w:iCs w:val="0"/>
          <w:caps w:val="0"/>
          <w:color w:val="333333"/>
          <w:spacing w:val="0"/>
          <w:sz w:val="32"/>
          <w:szCs w:val="32"/>
          <w:shd w:val="clear" w:fill="FFFFFF"/>
        </w:rPr>
        <w:t>工业厂房（仓库）</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工业厂房（仓库）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1</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1.推广自承力自支撑预应力网肋板体系、大跨度装配式空心楼盖技术体系。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2.推广钢框架结构技术体系。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2</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编制工业厂房（仓库）标准图集，图集经施工图审查合格后，对外公开发布。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00" w:type="dxa"/>
          </w:tcPr>
          <w:p>
            <w:pPr>
              <w:spacing w:line="480" w:lineRule="auto"/>
              <w:ind w:firstLine="240" w:firstLineChars="100"/>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3</w:t>
            </w:r>
          </w:p>
        </w:tc>
        <w:tc>
          <w:tcPr>
            <w:tcW w:w="1834" w:type="dxa"/>
          </w:tcPr>
          <w:p>
            <w:pPr>
              <w:spacing w:line="48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参照高校学生宿舍全过程标准化审批模式，研究制订工业厂房（仓库）标准化建设审批流程。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4</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1.支持能够实现免支撑免支模，在大跨度结构方面拥有核心技术体系，具备研发、设计、生产和施工能力的企业发展为龙头企业。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2.支持龙头企业申报国家级装配式建筑产业基地。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5</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2.推进“BIM正向设计”“一模到底”的数字交付模式，推广 “工业上楼”项目装配式建筑EMPC建造模式。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3.组织研究适用于工业厂房的结构功能一体化围护结构体系。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4.2025年，新布局生产基地2个，2026年达到5个基地。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6</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1.在湘江新区组织召开装配式建筑现场会，观摩采用自承力自支撑技术体系的工业厂房示范项目。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2.在宁乡妙盛工业园、临港工业园、双创产业园、望达小镇建设工业上楼示范项目。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3.在省、市级以上的特色工业园区推动项目示范。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7</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1.研究出台装配式工业厂房（仓库）EMPC工程总承包支持政策。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2.支持装配式工业厂房（仓库）项目在省优质工程、芙蓉奖评选中予以加分。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00" w:type="dxa"/>
          </w:tcPr>
          <w:p>
            <w:pPr>
              <w:spacing w:line="360" w:lineRule="auto"/>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8</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2024年-2026年，每年建设工业及研发楼宇400万平方米以上，年产值80亿元以上。</w:t>
            </w:r>
          </w:p>
        </w:tc>
      </w:tr>
    </w:tbl>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eastAsia"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市政园林设施工程</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市政园林设施工程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1</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推广装配式的市政管线设施综合管沟；成品市政人行道板、广场铺装、散水明沟、检查井；轨道交通、隧道工程的预制管片；桥梁工程的梁、桥面板、防护栏杆；整体式城市家具、园林小品、公交站点、公共卫生间（城市驿站）、值班岗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2</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编制装配式市政管线、综合管沟、城市家具标准图集。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00" w:type="dxa"/>
          </w:tcPr>
          <w:p>
            <w:pPr>
              <w:spacing w:line="720" w:lineRule="auto"/>
              <w:ind w:firstLine="240" w:firstLineChars="100"/>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3</w:t>
            </w:r>
          </w:p>
        </w:tc>
        <w:tc>
          <w:tcPr>
            <w:tcW w:w="1834" w:type="dxa"/>
          </w:tcPr>
          <w:p>
            <w:pPr>
              <w:spacing w:line="72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编制市政管线综合管沟工程定额。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60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4</w:t>
            </w:r>
          </w:p>
        </w:tc>
        <w:tc>
          <w:tcPr>
            <w:tcW w:w="1834" w:type="dxa"/>
          </w:tcPr>
          <w:p>
            <w:pPr>
              <w:spacing w:line="600" w:lineRule="auto"/>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1.支持具备市政设施、园林小品、城市家具等标准化、产品化、定型化生产能力的企业发展为龙头企业。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2.推进现有装配式建筑产业基地向市政园林设施领域转型。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5</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2.开展城市综合管沟、城市家具装配式建筑产品设计竞赛。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3.引导产业联盟研究市政管线综合管沟集成化技术，推动构件轻量化、集成化、通用化。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6</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1.在湘江新区率先开展装配式市政园林设施规模化应用示范。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2.在湘江新区组织召开现场会，推介市政园林设施工程装配式建造做法。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3.在城市生命线安全工程建设中全面采用装配式建造方式，在综合管沟建设中打造1-3个示范项目。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7</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1.在市政园林设施工程中全面推行装配式建造方式。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2.将市政园林设施纳入设备更新、以旧换新行动政策支持范围。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3.对采用装配式的市政园林设施工程予以金融支持。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4.支持市政园林设施工程在省优质工程、芙蓉奖评选中予以加分。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00" w:type="dxa"/>
          </w:tcPr>
          <w:p>
            <w:pPr>
              <w:spacing w:line="360" w:lineRule="auto"/>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8</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1.2024年完成产值100亿元。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2.2025年完成产值200亿元。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3.2026年完成产值400亿元。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tc>
      </w:tr>
    </w:tbl>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hint="default" w:ascii="黑体" w:hAnsi="宋体" w:eastAsia="黑体" w:cs="黑体"/>
          <w:i w:val="0"/>
          <w:iCs w:val="0"/>
          <w:caps w:val="0"/>
          <w:color w:val="333333"/>
          <w:spacing w:val="0"/>
          <w:sz w:val="32"/>
          <w:szCs w:val="32"/>
          <w:shd w:val="clear" w:fill="FFFFFF"/>
          <w:lang w:val="en-US" w:eastAsia="zh-CN"/>
        </w:rPr>
      </w:pPr>
    </w:p>
    <w:p>
      <w:pPr>
        <w:jc w:val="center"/>
        <w:rPr>
          <w:rFonts w:ascii="黑体" w:hAnsi="宋体" w:eastAsia="黑体" w:cs="黑体"/>
          <w:i w:val="0"/>
          <w:iCs w:val="0"/>
          <w:caps w:val="0"/>
          <w:color w:val="333333"/>
          <w:spacing w:val="0"/>
          <w:sz w:val="32"/>
          <w:szCs w:val="32"/>
          <w:shd w:val="clear" w:fill="FFFFFF"/>
        </w:rPr>
      </w:pPr>
      <w:r>
        <w:rPr>
          <w:rFonts w:ascii="黑体" w:hAnsi="宋体" w:eastAsia="黑体" w:cs="黑体"/>
          <w:i w:val="0"/>
          <w:iCs w:val="0"/>
          <w:caps w:val="0"/>
          <w:color w:val="333333"/>
          <w:spacing w:val="0"/>
          <w:sz w:val="32"/>
          <w:szCs w:val="32"/>
          <w:shd w:val="clear" w:fill="FFFFFF"/>
        </w:rPr>
        <w:t>装配化装修</w:t>
      </w:r>
    </w:p>
    <w:tbl>
      <w:tblPr>
        <w:tblStyle w:val="4"/>
        <w:tblW w:w="10850" w:type="dxa"/>
        <w:tblInd w:w="-1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83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序号</w:t>
            </w:r>
          </w:p>
        </w:tc>
        <w:tc>
          <w:tcPr>
            <w:tcW w:w="1834" w:type="dxa"/>
          </w:tcPr>
          <w:p>
            <w:pPr>
              <w:spacing w:line="360" w:lineRule="auto"/>
              <w:jc w:val="center"/>
              <w:rPr>
                <w:rFonts w:hint="eastAsia"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实施内容</w:t>
            </w:r>
          </w:p>
        </w:tc>
        <w:tc>
          <w:tcPr>
            <w:tcW w:w="8216" w:type="dxa"/>
          </w:tcPr>
          <w:p>
            <w:pPr>
              <w:spacing w:line="360" w:lineRule="auto"/>
              <w:jc w:val="center"/>
              <w:rPr>
                <w:rFonts w:hint="default" w:ascii="宋体" w:hAnsi="宋体" w:eastAsia="宋体" w:cs="宋体"/>
                <w:b/>
                <w:bCs/>
                <w:i w:val="0"/>
                <w:iCs w:val="0"/>
                <w:caps w:val="0"/>
                <w:color w:val="333333"/>
                <w:spacing w:val="0"/>
                <w:sz w:val="28"/>
                <w:szCs w:val="28"/>
                <w:shd w:val="clear" w:fill="FFFFFF"/>
                <w:vertAlign w:val="baseline"/>
                <w:lang w:val="en-US" w:eastAsia="zh-CN"/>
              </w:rPr>
            </w:pPr>
            <w:r>
              <w:rPr>
                <w:rFonts w:hint="eastAsia" w:ascii="宋体" w:hAnsi="宋体" w:eastAsia="宋体" w:cs="宋体"/>
                <w:b/>
                <w:bCs/>
                <w:i w:val="0"/>
                <w:iCs w:val="0"/>
                <w:caps w:val="0"/>
                <w:color w:val="333333"/>
                <w:spacing w:val="0"/>
                <w:sz w:val="28"/>
                <w:szCs w:val="28"/>
                <w:shd w:val="clear" w:fill="FFFFFF"/>
                <w:vertAlign w:val="baseline"/>
                <w:lang w:val="en-US" w:eastAsia="zh-CN"/>
              </w:rPr>
              <w:t>装配化装修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1</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技术体系</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1.积极推广BIM设计，加强装饰装修与主体结构、机电设备一体化设计。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2.推广机电设备一体化、管线分离、整体集成式厨房卫浴、智能家居等产品化装配化装修技术。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3.推广装配式隔墙、吊顶和楼地面。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72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2</w:t>
            </w:r>
          </w:p>
        </w:tc>
        <w:tc>
          <w:tcPr>
            <w:tcW w:w="1834" w:type="dxa"/>
          </w:tcPr>
          <w:p>
            <w:pPr>
              <w:spacing w:line="72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编制图集</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组织编制公共建筑和居住建筑装配化装修系列标准图集，形成装配化装修标准图集库。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00" w:type="dxa"/>
          </w:tcPr>
          <w:p>
            <w:pPr>
              <w:spacing w:line="720" w:lineRule="auto"/>
              <w:ind w:firstLine="240" w:firstLineChars="100"/>
              <w:jc w:val="both"/>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3</w:t>
            </w:r>
          </w:p>
        </w:tc>
        <w:tc>
          <w:tcPr>
            <w:tcW w:w="1834" w:type="dxa"/>
          </w:tcPr>
          <w:p>
            <w:pPr>
              <w:spacing w:line="72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简化审批</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1.研究简化装配化装修工程审批流程。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2.编制装配化装修工程定额。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60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4</w:t>
            </w:r>
          </w:p>
        </w:tc>
        <w:tc>
          <w:tcPr>
            <w:tcW w:w="1834" w:type="dxa"/>
          </w:tcPr>
          <w:p>
            <w:pPr>
              <w:spacing w:line="60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龙头企业</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1.支持掌握机电一体化、管线分离核心技术，具备集成化、整体化设计、生产和施工能力的企业发展为龙头企业。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2.支持龙头企业申报国家、省级装配化装修产业基地。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5</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产业联盟</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1. 支持龙头企业牵头建立产业联盟。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2. 加强装配化装修技术研究应用，在装配化装修中推广BIM技术。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3.2024年，在长株潭地区布局生产基地，2026年，在各市州均有装配化装修生产基地。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6</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rPr>
              <w:t>场景推介</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1.推动公共建筑装修、绿色建筑全装修、商品住宅的公共区域装修采用装配化装修。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2.引导居民新房装修、旧房更新、二手房交易二次装修采用装配化装修方式。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spacing w:line="360" w:lineRule="auto"/>
              <w:jc w:val="center"/>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7</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政策支持</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1.优化装配式建筑评价标准，提高装配化装修评分标准。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2.将装配化装修纳入设备更新、以旧换新行动政策支持范围。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3.支持装配化装修企业作为EMPC联合体单位。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800" w:type="dxa"/>
          </w:tcPr>
          <w:p>
            <w:pPr>
              <w:spacing w:line="360" w:lineRule="auto"/>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p>
            <w:pPr>
              <w:spacing w:line="360" w:lineRule="auto"/>
              <w:jc w:val="center"/>
              <w:rPr>
                <w:rFonts w:hint="default" w:ascii="宋体" w:hAnsi="宋体" w:eastAsia="宋体" w:cs="宋体"/>
                <w:b w:val="0"/>
                <w:bCs w:val="0"/>
                <w:i w:val="0"/>
                <w:iCs w:val="0"/>
                <w:caps w:val="0"/>
                <w:color w:val="333333"/>
                <w:spacing w:val="0"/>
                <w:sz w:val="24"/>
                <w:szCs w:val="24"/>
                <w:shd w:val="clear" w:fill="FFFFFF"/>
                <w:vertAlign w:val="baseline"/>
                <w:lang w:val="en-US" w:eastAsia="zh-CN"/>
              </w:rPr>
            </w:pPr>
            <w:r>
              <w:rPr>
                <w:rFonts w:hint="eastAsia" w:ascii="宋体" w:hAnsi="宋体" w:eastAsia="宋体" w:cs="宋体"/>
                <w:b w:val="0"/>
                <w:bCs w:val="0"/>
                <w:i w:val="0"/>
                <w:iCs w:val="0"/>
                <w:caps w:val="0"/>
                <w:color w:val="333333"/>
                <w:spacing w:val="0"/>
                <w:sz w:val="24"/>
                <w:szCs w:val="24"/>
                <w:shd w:val="clear" w:fill="FFFFFF"/>
                <w:vertAlign w:val="baseline"/>
                <w:lang w:val="en-US" w:eastAsia="zh-CN"/>
              </w:rPr>
              <w:t>8</w:t>
            </w:r>
          </w:p>
        </w:tc>
        <w:tc>
          <w:tcPr>
            <w:tcW w:w="1834" w:type="dxa"/>
          </w:tcPr>
          <w:p>
            <w:pPr>
              <w:spacing w:line="360" w:lineRule="auto"/>
              <w:jc w:val="center"/>
              <w:rPr>
                <w:rFonts w:hint="eastAsia" w:ascii="宋体" w:hAnsi="宋体" w:eastAsia="宋体" w:cs="宋体"/>
                <w:i w:val="0"/>
                <w:iCs w:val="0"/>
                <w:caps w:val="0"/>
                <w:color w:val="333333"/>
                <w:spacing w:val="0"/>
                <w:sz w:val="24"/>
                <w:szCs w:val="24"/>
                <w:shd w:val="clear" w:fill="FFFFFF"/>
              </w:rPr>
            </w:pPr>
          </w:p>
          <w:p>
            <w:pPr>
              <w:spacing w:line="360" w:lineRule="auto"/>
              <w:jc w:val="cente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预期目标</w:t>
            </w:r>
          </w:p>
        </w:tc>
        <w:tc>
          <w:tcPr>
            <w:tcW w:w="821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1.2024年完成100万平米。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2.2025年完成300万平米。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00"/>
              <w:jc w:val="both"/>
              <w:rPr>
                <w:rFonts w:hint="default" w:ascii="Calibri" w:hAnsi="Calibri" w:cs="Calibri"/>
                <w:i w:val="0"/>
                <w:iCs w:val="0"/>
                <w:caps w:val="0"/>
                <w:color w:val="333333"/>
                <w:spacing w:val="0"/>
                <w:sz w:val="32"/>
                <w:szCs w:val="32"/>
              </w:rPr>
            </w:pPr>
            <w:r>
              <w:rPr>
                <w:rFonts w:hint="eastAsia" w:ascii="宋体" w:hAnsi="宋体" w:eastAsia="宋体" w:cs="宋体"/>
                <w:i w:val="0"/>
                <w:iCs w:val="0"/>
                <w:caps w:val="0"/>
                <w:color w:val="333333"/>
                <w:spacing w:val="0"/>
                <w:sz w:val="24"/>
                <w:szCs w:val="24"/>
                <w:bdr w:val="none" w:color="auto" w:sz="0" w:space="0"/>
                <w:shd w:val="clear" w:fill="FFFFFF"/>
              </w:rPr>
              <w:t>3.2026年完成500万平米。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300"/>
              <w:jc w:val="both"/>
              <w:rPr>
                <w:rFonts w:hint="eastAsia" w:ascii="宋体" w:hAnsi="宋体" w:eastAsia="宋体" w:cs="宋体"/>
                <w:b w:val="0"/>
                <w:bCs w:val="0"/>
                <w:i w:val="0"/>
                <w:iCs w:val="0"/>
                <w:caps w:val="0"/>
                <w:color w:val="333333"/>
                <w:spacing w:val="0"/>
                <w:sz w:val="24"/>
                <w:szCs w:val="24"/>
                <w:shd w:val="clear" w:fill="FFFFFF"/>
                <w:vertAlign w:val="baseline"/>
                <w:lang w:val="en-US" w:eastAsia="zh-CN"/>
              </w:rPr>
            </w:pPr>
          </w:p>
        </w:tc>
      </w:tr>
    </w:tbl>
    <w:p>
      <w:pPr>
        <w:jc w:val="center"/>
        <w:rPr>
          <w:rFonts w:hint="default" w:ascii="黑体" w:hAnsi="宋体" w:eastAsia="黑体" w:cs="黑体"/>
          <w:i w:val="0"/>
          <w:iCs w:val="0"/>
          <w:caps w:val="0"/>
          <w:color w:val="333333"/>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TY2NDNhMjc1MTc4MDEzNTk1NWQ4ODY3YTJkMzgifQ=="/>
  </w:docVars>
  <w:rsids>
    <w:rsidRoot w:val="16C10E9F"/>
    <w:rsid w:val="16C10E9F"/>
    <w:rsid w:val="191D76E2"/>
    <w:rsid w:val="5668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2024-08-05T02:16:00Z</dcterms:created>
  <dc:creator>覃泓雅</dc:creator>
  <cp:lastModifiedBy>覃泓雅</cp:lastModifiedBy>
  <dcterms:modified xsi:type="dcterms:W3CDTF">2024-08-05T03:10:47Z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9780AC85D6624194A0A6806669162868_11</vt:lpwstr>
  </property>
</Properties>
</file>