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00"/>
        <w:jc w:val="both"/>
        <w:rPr>
          <w:rFonts w:ascii="Calibri" w:hAnsi="Calibri" w:cs="Calibri"/>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00"/>
        <w:jc w:val="left"/>
        <w:rPr>
          <w:rFonts w:hint="default" w:ascii="Calibri" w:hAnsi="Calibri" w:cs="Calibri"/>
          <w:i w:val="0"/>
          <w:iCs w:val="0"/>
          <w:caps w:val="0"/>
          <w:color w:val="333333"/>
          <w:spacing w:val="0"/>
          <w:sz w:val="32"/>
          <w:szCs w:val="32"/>
        </w:rPr>
      </w:pPr>
      <w:r>
        <w:rPr>
          <w:rFonts w:hint="default" w:ascii="Calibri" w:hAnsi="Calibri" w:cs="Calibri"/>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300"/>
        <w:jc w:val="center"/>
        <w:rPr>
          <w:rFonts w:hint="default" w:ascii="Calibri" w:hAnsi="Calibri" w:cs="Calibri"/>
          <w:i w:val="0"/>
          <w:iCs w:val="0"/>
          <w:caps w:val="0"/>
          <w:color w:val="333333"/>
          <w:spacing w:val="0"/>
          <w:sz w:val="32"/>
          <w:szCs w:val="32"/>
        </w:rPr>
      </w:pPr>
      <w:bookmarkStart w:id="0" w:name="_GoBack"/>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装配式绿色农房试点实施方案编制大纲</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default" w:ascii="Calibri" w:hAnsi="Calibri" w:cs="Calibri"/>
          <w:i w:val="0"/>
          <w:iCs w:val="0"/>
          <w:caps w:val="0"/>
          <w:color w:val="333333"/>
          <w:spacing w:val="0"/>
          <w:sz w:val="32"/>
          <w:szCs w:val="32"/>
        </w:rPr>
      </w:pPr>
      <w:r>
        <w:rPr>
          <w:rFonts w:hint="default" w:ascii="Calibri" w:hAnsi="Calibri" w:cs="Calibri"/>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default" w:ascii="Calibri" w:hAnsi="Calibri" w:cs="Calibri"/>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宋体" w:hAnsi="宋体" w:eastAsia="宋体" w:cs="宋体"/>
          <w:i w:val="0"/>
          <w:iCs w:val="0"/>
          <w:caps w:val="0"/>
          <w:color w:val="333333"/>
          <w:spacing w:val="0"/>
          <w:sz w:val="24"/>
          <w:szCs w:val="24"/>
        </w:rPr>
      </w:pPr>
      <w:r>
        <w:rPr>
          <w:rFonts w:ascii="仿宋_GB2312" w:hAnsi="Times New Roman" w:eastAsia="仿宋_GB2312" w:cs="仿宋_GB2312"/>
          <w:i w:val="0"/>
          <w:iCs w:val="0"/>
          <w:caps w:val="0"/>
          <w:color w:val="333333"/>
          <w:spacing w:val="0"/>
          <w:sz w:val="32"/>
          <w:szCs w:val="32"/>
          <w:bdr w:val="none" w:color="auto" w:sz="0" w:space="0"/>
          <w:shd w:val="clear" w:fill="FFFFFF"/>
        </w:rPr>
        <w:t>简述本地区经济社会发展和城乡建设基本情况。本地区农村住房建设基本情况，装配式建筑产业发展情况，装配式绿色农房建设情况等。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default" w:ascii="Calibri" w:hAnsi="Calibri" w:cs="Calibri"/>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二、试点内容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default" w:ascii="Calibri" w:hAnsi="Calibri" w:cs="Calibri"/>
          <w:i w:val="0"/>
          <w:iCs w:val="0"/>
          <w:caps w:val="0"/>
          <w:color w:val="333333"/>
          <w:spacing w:val="0"/>
          <w:sz w:val="32"/>
          <w:szCs w:val="32"/>
        </w:rPr>
      </w:pPr>
      <w:r>
        <w:rPr>
          <w:rFonts w:hint="default" w:ascii="Times New Roman" w:hAnsi="Times New Roman" w:cs="Times New Roman"/>
          <w:b/>
          <w:bCs/>
          <w:i w:val="0"/>
          <w:iCs w:val="0"/>
          <w:caps w:val="0"/>
          <w:color w:val="333333"/>
          <w:spacing w:val="0"/>
          <w:sz w:val="32"/>
          <w:szCs w:val="32"/>
          <w:bdr w:val="none" w:color="auto" w:sz="0" w:space="0"/>
          <w:shd w:val="clear" w:fill="FFFFFF"/>
        </w:rPr>
        <w:t>1.</w:t>
      </w:r>
      <w:r>
        <w:rPr>
          <w:rFonts w:hint="default" w:ascii="仿宋" w:hAnsi="仿宋" w:eastAsia="仿宋" w:cs="仿宋"/>
          <w:b/>
          <w:bCs/>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试点工作概述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宋体" w:hAnsi="宋体" w:eastAsia="宋体" w:cs="宋体"/>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综合分析本地区农村住房建设情况；提出实施试点工作的总体目标、主要绩效目标、实施期限、预期效果等；提出拟实施的主要项目内容、布局安排等。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00"/>
        <w:jc w:val="both"/>
        <w:rPr>
          <w:rFonts w:hint="default" w:ascii="Calibri" w:hAnsi="Calibri" w:cs="Calibri"/>
          <w:i w:val="0"/>
          <w:iCs w:val="0"/>
          <w:caps w:val="0"/>
          <w:color w:val="333333"/>
          <w:spacing w:val="0"/>
          <w:sz w:val="32"/>
          <w:szCs w:val="32"/>
        </w:rPr>
      </w:pPr>
      <w:r>
        <w:rPr>
          <w:rFonts w:hint="default" w:ascii="Times New Roman" w:hAnsi="Times New Roman" w:eastAsia="仿宋" w:cs="Times New Roman"/>
          <w:b/>
          <w:bCs/>
          <w:i w:val="0"/>
          <w:iCs w:val="0"/>
          <w:caps w:val="0"/>
          <w:color w:val="333333"/>
          <w:spacing w:val="0"/>
          <w:sz w:val="32"/>
          <w:szCs w:val="32"/>
          <w:bdr w:val="none" w:color="auto" w:sz="0" w:space="0"/>
          <w:shd w:val="clear" w:fill="FFFFFF"/>
        </w:rPr>
        <w:t>2. </w:t>
      </w:r>
      <w:r>
        <w:rPr>
          <w:rFonts w:hint="eastAsia" w:ascii="仿宋" w:hAnsi="仿宋" w:eastAsia="仿宋" w:cs="仿宋"/>
          <w:b/>
          <w:bCs/>
          <w:i w:val="0"/>
          <w:iCs w:val="0"/>
          <w:caps w:val="0"/>
          <w:color w:val="333333"/>
          <w:spacing w:val="0"/>
          <w:sz w:val="32"/>
          <w:szCs w:val="32"/>
          <w:bdr w:val="none" w:color="auto" w:sz="0" w:space="0"/>
          <w:shd w:val="clear" w:fill="FFFFFF"/>
        </w:rPr>
        <w:t>试点</w:t>
      </w:r>
      <w:r>
        <w:rPr>
          <w:rFonts w:ascii="楷体_GB2312" w:hAnsi="Times New Roman" w:eastAsia="楷体_GB2312" w:cs="楷体_GB2312"/>
          <w:b/>
          <w:bCs/>
          <w:i w:val="0"/>
          <w:iCs w:val="0"/>
          <w:caps w:val="0"/>
          <w:color w:val="333333"/>
          <w:spacing w:val="0"/>
          <w:sz w:val="32"/>
          <w:szCs w:val="32"/>
          <w:bdr w:val="none" w:color="auto" w:sz="0" w:space="0"/>
          <w:shd w:val="clear" w:fill="FFFFFF"/>
        </w:rPr>
        <w:t>工作基础（提供佐证材料）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宋体" w:hAnsi="宋体" w:eastAsia="宋体" w:cs="宋体"/>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试点地区装配式绿色农房发展计划（规划、方案）；本地区已出台及拟制定的支持装配式绿色农房发展的相关政策文件（包含用地、规划、建设、产业、财政、金融等方面）；本地区装配式绿色农房产业发展优势条件；已有的装配式绿色农房建设的成功经验和案例；其他有利于试点建设的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default" w:ascii="Calibri" w:hAnsi="Calibri" w:cs="Calibri"/>
          <w:i w:val="0"/>
          <w:iCs w:val="0"/>
          <w:caps w:val="0"/>
          <w:color w:val="333333"/>
          <w:spacing w:val="0"/>
          <w:sz w:val="32"/>
          <w:szCs w:val="32"/>
        </w:rPr>
      </w:pPr>
      <w:r>
        <w:rPr>
          <w:rFonts w:hint="default" w:ascii="Times New Roman" w:hAnsi="Times New Roman" w:cs="Times New Roman"/>
          <w:b/>
          <w:bCs/>
          <w:i w:val="0"/>
          <w:iCs w:val="0"/>
          <w:caps w:val="0"/>
          <w:color w:val="333333"/>
          <w:spacing w:val="0"/>
          <w:sz w:val="32"/>
          <w:szCs w:val="32"/>
          <w:bdr w:val="none" w:color="auto" w:sz="0" w:space="0"/>
          <w:shd w:val="clear" w:fill="FFFFFF"/>
        </w:rPr>
        <w:t>3.</w:t>
      </w:r>
      <w:r>
        <w:rPr>
          <w:rFonts w:hint="eastAsia" w:ascii="仿宋" w:hAnsi="仿宋" w:eastAsia="仿宋" w:cs="仿宋"/>
          <w:b/>
          <w:bCs/>
          <w:i w:val="0"/>
          <w:iCs w:val="0"/>
          <w:caps w:val="0"/>
          <w:color w:val="333333"/>
          <w:spacing w:val="0"/>
          <w:sz w:val="32"/>
          <w:szCs w:val="32"/>
          <w:bdr w:val="none" w:color="auto" w:sz="0" w:space="0"/>
          <w:shd w:val="clear" w:fill="FFFFFF"/>
        </w:rPr>
        <w:t> 重点工作任务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宋体" w:hAnsi="宋体" w:eastAsia="宋体" w:cs="宋体"/>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包括拟出台的政策、措施、技术文件、管理文件、试点项目建设推进计划、试点实施内容、工作进度安排等。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default" w:ascii="Calibri" w:hAnsi="Calibri" w:cs="Calibri"/>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default" w:ascii="Calibri" w:hAnsi="Calibri" w:cs="Calibri"/>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明确开展试点建设工作的相关保障措施，包括组织保障、制度保障、宣传推广及其他相关措施。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default" w:ascii="Calibri" w:hAnsi="Calibri" w:cs="Calibri"/>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四、项目清单和资金使用方案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default" w:ascii="Calibri" w:hAnsi="Calibri" w:cs="Calibri"/>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装配式绿色农房建设项目及统规统建和集中连片建设的项目储备情况。提出试点资金使用范围和方案、监管及绩效评价措施等。附相关项目清单，含项目名称、建筑面积、投资规模、开工时间、竣工时间等基本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OTY2NDNhMjc1MTc4MDEzNTk1NWQ4ODY3YTJkMzgifQ=="/>
  </w:docVars>
  <w:rsids>
    <w:rsidRoot w:val="1BCD7E80"/>
    <w:rsid w:val="1BCD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2024-07-08T03:29:00Z</dcterms:created>
  <dc:creator>覃泓雅</dc:creator>
  <cp:lastModifiedBy>覃泓雅</cp:lastModifiedBy>
  <dcterms:modified xsi:type="dcterms:W3CDTF">2024-07-08T03:29:57Z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F3636985D66E45FCB71FA63B258F5D32_11</vt:lpwstr>
  </property>
</Properties>
</file>