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highlight w:val="none"/>
        </w:rPr>
      </w:pPr>
      <w:bookmarkStart w:id="0" w:name="_Toc300678060"/>
      <w:r>
        <w:rPr>
          <w:rFonts w:hint="eastAsia" w:ascii="黑体" w:hAnsi="黑体" w:eastAsia="黑体"/>
          <w:color w:val="auto"/>
          <w:sz w:val="32"/>
          <w:szCs w:val="32"/>
          <w:highlight w:val="none"/>
        </w:rPr>
        <w:t>附件3</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ascii="黑体" w:hAnsi="黑体" w:eastAsia="黑体"/>
          <w:color w:val="auto"/>
          <w:sz w:val="72"/>
          <w:szCs w:val="72"/>
          <w:highlight w:val="none"/>
        </w:rPr>
      </w:pPr>
      <w:r>
        <w:rPr>
          <w:rFonts w:ascii="黑体" w:hAnsi="黑体" w:eastAsia="黑体"/>
          <w:color w:val="auto"/>
          <w:sz w:val="72"/>
          <w:szCs w:val="72"/>
          <w:highlight w:val="none"/>
        </w:rPr>
        <w:t>标准</w:t>
      </w:r>
      <w:r>
        <w:rPr>
          <w:rFonts w:hint="eastAsia" w:ascii="黑体" w:hAnsi="黑体" w:eastAsia="黑体"/>
          <w:color w:val="auto"/>
          <w:sz w:val="72"/>
          <w:szCs w:val="72"/>
          <w:highlight w:val="none"/>
        </w:rPr>
        <w:t>工程总承包</w:t>
      </w:r>
      <w:r>
        <w:rPr>
          <w:rFonts w:ascii="黑体" w:hAnsi="黑体" w:eastAsia="黑体"/>
          <w:color w:val="auto"/>
          <w:sz w:val="72"/>
          <w:szCs w:val="72"/>
          <w:highlight w:val="none"/>
        </w:rPr>
        <w:t>招标文件</w:t>
      </w:r>
    </w:p>
    <w:p>
      <w:pPr>
        <w:jc w:val="center"/>
        <w:rPr>
          <w:color w:val="auto"/>
          <w:sz w:val="36"/>
          <w:szCs w:val="36"/>
          <w:highlight w:val="none"/>
        </w:rPr>
      </w:pPr>
    </w:p>
    <w:p>
      <w:pPr>
        <w:ind w:firstLine="435"/>
        <w:rPr>
          <w:color w:val="auto"/>
          <w:highlight w:val="none"/>
        </w:rPr>
      </w:pPr>
    </w:p>
    <w:p>
      <w:pPr>
        <w:ind w:firstLine="435"/>
        <w:jc w:val="center"/>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spacing w:after="120" w:afterLines="50"/>
        <w:jc w:val="center"/>
        <w:rPr>
          <w:rFonts w:eastAsia="黑体"/>
          <w:color w:val="auto"/>
          <w:sz w:val="32"/>
          <w:szCs w:val="32"/>
          <w:highlight w:val="none"/>
        </w:rPr>
        <w:sectPr>
          <w:headerReference r:id="rId3" w:type="even"/>
          <w:footerReference r:id="rId4" w:type="even"/>
          <w:pgSz w:w="11906" w:h="16838"/>
          <w:pgMar w:top="1418" w:right="1418" w:bottom="1418" w:left="1418" w:header="851" w:footer="850" w:gutter="0"/>
          <w:pgNumType w:start="0"/>
          <w:cols w:space="720" w:num="1"/>
          <w:titlePg/>
          <w:docGrid w:linePitch="306" w:charSpace="0"/>
        </w:sectPr>
      </w:pPr>
    </w:p>
    <w:p>
      <w:pPr>
        <w:ind w:firstLine="435"/>
        <w:rPr>
          <w:color w:val="auto"/>
          <w:highlight w:val="none"/>
        </w:rPr>
      </w:pPr>
    </w:p>
    <w:p>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pPr>
        <w:ind w:firstLine="435"/>
        <w:rPr>
          <w:color w:val="auto"/>
          <w:highlight w:val="none"/>
        </w:rPr>
      </w:pP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一、《湖南省房屋建筑和市政基础设施工程标准</w:t>
      </w:r>
      <w:r>
        <w:rPr>
          <w:rFonts w:hint="eastAsia" w:eastAsia="仿宋_GB2312"/>
          <w:color w:val="auto"/>
          <w:sz w:val="28"/>
          <w:szCs w:val="28"/>
          <w:highlight w:val="none"/>
        </w:rPr>
        <w:t>工程总承包</w:t>
      </w:r>
      <w:r>
        <w:rPr>
          <w:rFonts w:eastAsia="仿宋_GB2312"/>
          <w:color w:val="auto"/>
          <w:sz w:val="28"/>
          <w:szCs w:val="28"/>
          <w:highlight w:val="none"/>
        </w:rPr>
        <w:t>招标文件》（以下简称《标准</w:t>
      </w:r>
      <w:r>
        <w:rPr>
          <w:rFonts w:hint="eastAsia" w:eastAsia="仿宋_GB2312"/>
          <w:color w:val="auto"/>
          <w:sz w:val="28"/>
          <w:szCs w:val="28"/>
          <w:highlight w:val="none"/>
        </w:rPr>
        <w:t>工程总承包招标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w:t>
      </w:r>
      <w:r>
        <w:rPr>
          <w:rFonts w:hint="eastAsia" w:eastAsia="仿宋_GB2312"/>
          <w:color w:val="auto"/>
          <w:sz w:val="28"/>
          <w:szCs w:val="28"/>
          <w:highlight w:val="none"/>
        </w:rPr>
        <w:t>、</w:t>
      </w:r>
      <w:r>
        <w:rPr>
          <w:rFonts w:hint="eastAsia" w:ascii="仿宋_GB2312" w:eastAsia="仿宋_GB2312"/>
          <w:color w:val="auto"/>
          <w:sz w:val="28"/>
          <w:szCs w:val="28"/>
          <w:highlight w:val="none"/>
        </w:rPr>
        <w:t>《电子招标投标办法》</w:t>
      </w:r>
      <w:r>
        <w:rPr>
          <w:rFonts w:eastAsia="仿宋_GB2312"/>
          <w:color w:val="auto"/>
          <w:sz w:val="28"/>
          <w:szCs w:val="28"/>
          <w:highlight w:val="none"/>
        </w:rPr>
        <w:t>等法律法规和规章编制。</w:t>
      </w: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工程总承包招标</w:t>
      </w:r>
      <w:r>
        <w:rPr>
          <w:rFonts w:eastAsia="仿宋_GB2312"/>
          <w:color w:val="auto"/>
          <w:sz w:val="28"/>
          <w:szCs w:val="28"/>
          <w:highlight w:val="none"/>
        </w:rPr>
        <w:t>文件》</w:t>
      </w:r>
      <w:r>
        <w:rPr>
          <w:rFonts w:hint="eastAsia" w:ascii="仿宋_GB2312" w:eastAsia="仿宋_GB2312"/>
          <w:color w:val="auto"/>
          <w:sz w:val="28"/>
          <w:szCs w:val="28"/>
          <w:highlight w:val="none"/>
        </w:rPr>
        <w:t>适用于本省行政区域内，依法必须招标的房屋建筑和市政基础设施工程总承包招标项目的电子招标。</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工程总承包招标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仿宋_GB2312" w:hAnsi="宋体" w:eastAsia="仿宋_GB2312" w:cs="宋体"/>
          <w:color w:val="auto"/>
          <w:szCs w:val="21"/>
          <w:highlight w:val="none"/>
        </w:rPr>
        <w:t>□</w:t>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w:t>
      </w:r>
      <w:r>
        <w:rPr>
          <w:rFonts w:hint="eastAsia" w:ascii="仿宋_GB2312" w:eastAsia="仿宋_GB2312"/>
          <w:color w:val="auto"/>
          <w:sz w:val="28"/>
          <w:szCs w:val="28"/>
          <w:highlight w:val="none"/>
        </w:rPr>
        <w:t>/</w:t>
      </w:r>
      <w:r>
        <w:rPr>
          <w:rFonts w:eastAsia="仿宋_GB2312"/>
          <w:color w:val="auto"/>
          <w:sz w:val="28"/>
          <w:szCs w:val="28"/>
          <w:highlight w:val="none"/>
        </w:rPr>
        <w:t>”标示。其余内容应当不加修改地直接引用。《标准文件》中引用的政策文件发生了变化的，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工程总承包招标</w:t>
      </w:r>
      <w:r>
        <w:rPr>
          <w:rFonts w:eastAsia="仿宋_GB2312"/>
          <w:color w:val="auto"/>
          <w:sz w:val="28"/>
          <w:szCs w:val="28"/>
          <w:highlight w:val="none"/>
        </w:rPr>
        <w:t>文件》第一章的格式发布招标公告或投标邀请书。</w:t>
      </w:r>
    </w:p>
    <w:p>
      <w:pPr>
        <w:spacing w:line="540" w:lineRule="exact"/>
        <w:ind w:firstLine="437"/>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《标准工程总承包招标文件》以附件方式集中列示的否决投标情形、评定分离工作规则等是对投标人须知和评标办法有关条款的总结和补充，是评标办法的组成部分。</w:t>
      </w:r>
    </w:p>
    <w:p>
      <w:pPr>
        <w:spacing w:line="540" w:lineRule="exact"/>
        <w:ind w:firstLine="437"/>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文件》第四章“合同条款及格式”采用《</w:t>
      </w:r>
      <w:r>
        <w:rPr>
          <w:rFonts w:hint="eastAsia" w:eastAsia="仿宋_GB2312"/>
          <w:color w:val="auto"/>
          <w:sz w:val="28"/>
          <w:szCs w:val="28"/>
          <w:highlight w:val="none"/>
        </w:rPr>
        <w:t>建设项目工程总承包合同示范文本（</w:t>
      </w:r>
      <w:r>
        <w:rPr>
          <w:rFonts w:eastAsia="仿宋_GB2312"/>
          <w:color w:val="auto"/>
          <w:sz w:val="28"/>
          <w:szCs w:val="28"/>
          <w:highlight w:val="none"/>
        </w:rPr>
        <w:t>GF-2020-0216</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部分</w:t>
      </w:r>
      <w:r>
        <w:rPr>
          <w:rFonts w:eastAsia="仿宋_GB2312"/>
          <w:color w:val="auto"/>
          <w:sz w:val="28"/>
          <w:szCs w:val="28"/>
          <w:highlight w:val="none"/>
        </w:rPr>
        <w:t>“合同协议书”、第二</w:t>
      </w:r>
      <w:r>
        <w:rPr>
          <w:rFonts w:hint="eastAsia" w:eastAsia="仿宋_GB2312"/>
          <w:color w:val="auto"/>
          <w:sz w:val="28"/>
          <w:szCs w:val="28"/>
          <w:highlight w:val="none"/>
        </w:rPr>
        <w:t>部分</w:t>
      </w:r>
      <w:r>
        <w:rPr>
          <w:rFonts w:eastAsia="仿宋_GB2312"/>
          <w:color w:val="auto"/>
          <w:sz w:val="28"/>
          <w:szCs w:val="28"/>
          <w:highlight w:val="none"/>
        </w:rPr>
        <w:t>“通用合同</w:t>
      </w:r>
      <w:r>
        <w:rPr>
          <w:rFonts w:hint="eastAsia" w:eastAsia="仿宋_GB2312"/>
          <w:color w:val="auto"/>
          <w:sz w:val="28"/>
          <w:szCs w:val="28"/>
          <w:highlight w:val="none"/>
        </w:rPr>
        <w:t>条件</w:t>
      </w:r>
      <w:r>
        <w:rPr>
          <w:rFonts w:eastAsia="仿宋_GB2312"/>
          <w:color w:val="auto"/>
          <w:sz w:val="28"/>
          <w:szCs w:val="28"/>
          <w:highlight w:val="none"/>
        </w:rPr>
        <w:t>”、第三</w:t>
      </w:r>
      <w:r>
        <w:rPr>
          <w:rFonts w:hint="eastAsia" w:eastAsia="仿宋_GB2312"/>
          <w:color w:val="auto"/>
          <w:sz w:val="28"/>
          <w:szCs w:val="28"/>
          <w:highlight w:val="none"/>
        </w:rPr>
        <w:t>部分</w:t>
      </w:r>
      <w:r>
        <w:rPr>
          <w:rFonts w:eastAsia="仿宋_GB2312"/>
          <w:color w:val="auto"/>
          <w:sz w:val="28"/>
          <w:szCs w:val="28"/>
          <w:highlight w:val="none"/>
        </w:rPr>
        <w:t>“专用合同</w:t>
      </w:r>
      <w:r>
        <w:rPr>
          <w:rFonts w:hint="eastAsia" w:eastAsia="仿宋_GB2312"/>
          <w:color w:val="auto"/>
          <w:sz w:val="28"/>
          <w:szCs w:val="28"/>
          <w:highlight w:val="none"/>
        </w:rPr>
        <w:t>条件</w:t>
      </w:r>
      <w:r>
        <w:rPr>
          <w:rFonts w:eastAsia="仿宋_GB2312"/>
          <w:color w:val="auto"/>
          <w:sz w:val="28"/>
          <w:szCs w:val="28"/>
          <w:highlight w:val="none"/>
        </w:rPr>
        <w:t>”和附件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pPr>
        <w:spacing w:line="54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w:t>
      </w:r>
      <w:r>
        <w:rPr>
          <w:rFonts w:hint="eastAsia" w:eastAsia="仿宋_GB2312"/>
          <w:color w:val="auto"/>
          <w:sz w:val="28"/>
          <w:szCs w:val="28"/>
          <w:highlight w:val="none"/>
        </w:rPr>
        <w:t>五</w:t>
      </w:r>
      <w:r>
        <w:rPr>
          <w:rFonts w:eastAsia="仿宋_GB2312"/>
          <w:color w:val="auto"/>
          <w:sz w:val="28"/>
          <w:szCs w:val="28"/>
          <w:highlight w:val="none"/>
        </w:rPr>
        <w:t>章“</w:t>
      </w:r>
      <w:r>
        <w:rPr>
          <w:rFonts w:hint="eastAsia" w:eastAsia="仿宋_GB2312"/>
          <w:color w:val="auto"/>
          <w:sz w:val="28"/>
          <w:szCs w:val="28"/>
          <w:highlight w:val="none"/>
        </w:rPr>
        <w:t>发包人要求</w:t>
      </w:r>
      <w:r>
        <w:rPr>
          <w:rFonts w:eastAsia="仿宋_GB2312"/>
          <w:color w:val="auto"/>
          <w:sz w:val="28"/>
          <w:szCs w:val="28"/>
          <w:highlight w:val="none"/>
        </w:rPr>
        <w:t>”招标人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（盖单位章）</w:t>
      </w:r>
    </w:p>
    <w:p>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pPr>
        <w:pStyle w:val="30"/>
        <w:tabs>
          <w:tab w:val="right" w:leader="dot" w:pos="8891"/>
        </w:tabs>
        <w:rPr>
          <w:rFonts w:eastAsia="黑体"/>
          <w:color w:val="auto"/>
          <w:sz w:val="32"/>
          <w:szCs w:val="32"/>
          <w:highlight w:val="none"/>
        </w:rPr>
      </w:pPr>
    </w:p>
    <w:p>
      <w:pPr>
        <w:pStyle w:val="30"/>
        <w:tabs>
          <w:tab w:val="right" w:leader="dot" w:pos="9060"/>
        </w:tabs>
        <w:rPr>
          <w:rFonts w:ascii="Calibri" w:hAnsi="Calibri"/>
          <w:color w:val="auto"/>
          <w:szCs w:val="22"/>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一</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_Toc69199885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_Toc69199886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_Toc69199888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_Toc69199889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_Toc69199890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_Toc69199891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_Toc69199892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_Toc69199893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_Toc69199894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_Toc69199895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_Toc69199896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投标邀请书（适用于邀请招标）</w:t>
      </w:r>
      <w:r>
        <w:rPr>
          <w:color w:val="auto"/>
          <w:highlight w:val="none"/>
        </w:rPr>
        <w:tab/>
      </w:r>
      <w:r>
        <w:rPr>
          <w:color w:val="auto"/>
          <w:highlight w:val="none"/>
        </w:rPr>
        <w:fldChar w:fldCharType="begin"/>
      </w:r>
      <w:r>
        <w:rPr>
          <w:color w:val="auto"/>
          <w:highlight w:val="none"/>
        </w:rPr>
        <w:instrText xml:space="preserve"> PAGEREF _Toc69199897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_Toc69199899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_Toc69199900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_Toc69199901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"_Toc69199902"</w:instrText>
      </w:r>
      <w:r>
        <w:rPr>
          <w:rStyle w:val="49"/>
          <w:color w:val="auto"/>
          <w:highlight w:val="none"/>
        </w:rPr>
        <w:instrText xml:space="preserve"> </w:instrText>
      </w:r>
      <w:r>
        <w:rPr>
          <w:color w:val="auto"/>
          <w:highlight w:val="none"/>
        </w:rPr>
        <w:fldChar w:fldCharType="separate"/>
      </w:r>
      <w:r>
        <w:rPr>
          <w:rStyle w:val="49"/>
          <w:rFonts w:ascii="黑体" w:hAnsi="黑体" w:eastAsia="黑体"/>
          <w:color w:val="auto"/>
          <w:highlight w:val="none"/>
        </w:rPr>
        <w:t>5.</w:t>
      </w:r>
      <w:r>
        <w:rPr>
          <w:rStyle w:val="49"/>
          <w:rFonts w:hint="eastAsia" w:ascii="黑体" w:hAnsi="黑体" w:eastAsia="黑体"/>
          <w:color w:val="auto"/>
          <w:highlight w:val="none"/>
        </w:rPr>
        <w:t>确认</w:t>
      </w:r>
      <w:r>
        <w:rPr>
          <w:color w:val="auto"/>
          <w:highlight w:val="none"/>
        </w:rPr>
        <w:tab/>
      </w:r>
      <w:r>
        <w:rPr>
          <w:color w:val="auto"/>
          <w:highlight w:val="none"/>
        </w:rPr>
        <w:fldChar w:fldCharType="begin"/>
      </w:r>
      <w:r>
        <w:rPr>
          <w:color w:val="auto"/>
          <w:highlight w:val="none"/>
        </w:rPr>
        <w:instrText xml:space="preserve"> PAGEREF _Toc69199902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_Toc69199903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_Toc69199904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_Toc69199905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资格预审通过通知书</w:t>
      </w:r>
      <w:r>
        <w:rPr>
          <w:color w:val="auto"/>
          <w:highlight w:val="none"/>
        </w:rPr>
        <w:tab/>
      </w:r>
      <w:r>
        <w:rPr>
          <w:color w:val="auto"/>
          <w:highlight w:val="none"/>
        </w:rPr>
        <w:fldChar w:fldCharType="begin"/>
      </w:r>
      <w:r>
        <w:rPr>
          <w:color w:val="auto"/>
          <w:highlight w:val="none"/>
        </w:rPr>
        <w:instrText xml:space="preserve"> PAGEREF _Toc69199906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第二章</w:t>
      </w:r>
      <w:r>
        <w:rPr>
          <w:rStyle w:val="49"/>
          <w:rFonts w:eastAsia="黑体"/>
          <w:color w:val="auto"/>
          <w:highlight w:val="none"/>
        </w:rPr>
        <w:t xml:space="preserve">  </w:t>
      </w:r>
      <w:r>
        <w:rPr>
          <w:rStyle w:val="49"/>
          <w:rFonts w:hint="eastAsia" w:eastAsia="黑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_Toc69199907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_Toc69199908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_Toc69199909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_Toc69199910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_Toc69199911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_Toc69199912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_Toc69199913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_Toc69199914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_Toc69199915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_Toc69199916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第三章</w:t>
      </w:r>
      <w:r>
        <w:rPr>
          <w:rStyle w:val="49"/>
          <w:rFonts w:eastAsia="黑体"/>
          <w:color w:val="auto"/>
          <w:highlight w:val="none"/>
        </w:rPr>
        <w:t xml:space="preserve">  </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_Toc69199917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_Toc69199918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评审程序</w:t>
      </w:r>
      <w:r>
        <w:rPr>
          <w:color w:val="auto"/>
          <w:highlight w:val="none"/>
        </w:rPr>
        <w:tab/>
      </w:r>
      <w:r>
        <w:rPr>
          <w:color w:val="auto"/>
          <w:highlight w:val="none"/>
        </w:rPr>
        <w:fldChar w:fldCharType="begin"/>
      </w:r>
      <w:r>
        <w:rPr>
          <w:color w:val="auto"/>
          <w:highlight w:val="none"/>
        </w:rPr>
        <w:instrText xml:space="preserve"> PAGEREF _Toc69199919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 xml:space="preserve">3 </w:t>
      </w:r>
      <w:r>
        <w:rPr>
          <w:rStyle w:val="49"/>
          <w:rFonts w:hint="eastAsia" w:eastAsia="黑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_Toc69199920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第四章</w:t>
      </w:r>
      <w:r>
        <w:rPr>
          <w:rStyle w:val="49"/>
          <w:rFonts w:eastAsia="黑体"/>
          <w:color w:val="auto"/>
          <w:highlight w:val="none"/>
        </w:rPr>
        <w:t xml:space="preserve">  </w:t>
      </w:r>
      <w:r>
        <w:rPr>
          <w:rStyle w:val="49"/>
          <w:rFonts w:hint="eastAsia" w:eastAsia="黑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_Toc69199921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第一部分</w:t>
      </w:r>
      <w:r>
        <w:rPr>
          <w:rStyle w:val="49"/>
          <w:rFonts w:eastAsia="黑体"/>
          <w:color w:val="auto"/>
          <w:highlight w:val="none"/>
        </w:rPr>
        <w:t xml:space="preserve"> </w:t>
      </w:r>
      <w:r>
        <w:rPr>
          <w:rStyle w:val="49"/>
          <w:rFonts w:hint="eastAsia" w:eastAsia="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_Toc69199922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"_Toc69199923"</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第二部分</w:t>
      </w:r>
      <w:r>
        <w:rPr>
          <w:rStyle w:val="49"/>
          <w:rFonts w:eastAsia="黑体"/>
          <w:color w:val="auto"/>
          <w:highlight w:val="none"/>
        </w:rPr>
        <w:t xml:space="preserve"> </w:t>
      </w:r>
      <w:r>
        <w:rPr>
          <w:rStyle w:val="49"/>
          <w:rFonts w:hint="eastAsia" w:eastAsia="黑体"/>
          <w:color w:val="auto"/>
          <w:highlight w:val="none"/>
        </w:rPr>
        <w:t>通用合同条件</w:t>
      </w:r>
      <w:r>
        <w:rPr>
          <w:color w:val="auto"/>
          <w:highlight w:val="none"/>
        </w:rPr>
        <w:tab/>
      </w:r>
      <w:r>
        <w:rPr>
          <w:color w:val="auto"/>
          <w:highlight w:val="none"/>
        </w:rPr>
        <w:fldChar w:fldCharType="begin"/>
      </w:r>
      <w:r>
        <w:rPr>
          <w:color w:val="auto"/>
          <w:highlight w:val="none"/>
        </w:rPr>
        <w:instrText xml:space="preserve"> PAGEREF _Toc69199923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"_Toc69199924"</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第三部分</w:t>
      </w:r>
      <w:r>
        <w:rPr>
          <w:rStyle w:val="49"/>
          <w:rFonts w:eastAsia="黑体"/>
          <w:color w:val="auto"/>
          <w:highlight w:val="none"/>
        </w:rPr>
        <w:t xml:space="preserve"> </w:t>
      </w:r>
      <w:r>
        <w:rPr>
          <w:rStyle w:val="49"/>
          <w:rFonts w:hint="eastAsia" w:eastAsia="黑体"/>
          <w:color w:val="auto"/>
          <w:highlight w:val="none"/>
        </w:rPr>
        <w:t>专用合同条件</w:t>
      </w:r>
      <w:r>
        <w:rPr>
          <w:color w:val="auto"/>
          <w:highlight w:val="none"/>
        </w:rPr>
        <w:tab/>
      </w:r>
      <w:r>
        <w:rPr>
          <w:color w:val="auto"/>
          <w:highlight w:val="none"/>
        </w:rPr>
        <w:fldChar w:fldCharType="begin"/>
      </w:r>
      <w:r>
        <w:rPr>
          <w:color w:val="auto"/>
          <w:highlight w:val="none"/>
        </w:rPr>
        <w:instrText xml:space="preserve"> PAGEREF _Toc69199924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二</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第五章</w:t>
      </w:r>
      <w:r>
        <w:rPr>
          <w:rStyle w:val="49"/>
          <w:rFonts w:eastAsia="黑体"/>
          <w:color w:val="auto"/>
          <w:highlight w:val="none"/>
        </w:rPr>
        <w:t xml:space="preserve">  </w:t>
      </w:r>
      <w:r>
        <w:rPr>
          <w:rStyle w:val="49"/>
          <w:rFonts w:hint="eastAsia" w:eastAsia="黑体"/>
          <w:color w:val="auto"/>
          <w:highlight w:val="none"/>
        </w:rPr>
        <w:t>发包人要求</w:t>
      </w:r>
      <w:r>
        <w:rPr>
          <w:color w:val="auto"/>
          <w:highlight w:val="none"/>
        </w:rPr>
        <w:tab/>
      </w:r>
      <w:r>
        <w:rPr>
          <w:color w:val="auto"/>
          <w:highlight w:val="none"/>
        </w:rPr>
        <w:fldChar w:fldCharType="begin"/>
      </w:r>
      <w:r>
        <w:rPr>
          <w:color w:val="auto"/>
          <w:highlight w:val="none"/>
        </w:rPr>
        <w:instrText xml:space="preserve"> PAGEREF _Toc69199926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第六章</w:t>
      </w:r>
      <w:r>
        <w:rPr>
          <w:rStyle w:val="49"/>
          <w:rFonts w:eastAsia="黑体"/>
          <w:color w:val="auto"/>
          <w:highlight w:val="none"/>
        </w:rPr>
        <w:t xml:space="preserve">  </w:t>
      </w:r>
      <w:r>
        <w:rPr>
          <w:rStyle w:val="49"/>
          <w:rFonts w:hint="eastAsia" w:eastAsia="黑体"/>
          <w:color w:val="auto"/>
          <w:highlight w:val="none"/>
        </w:rPr>
        <w:t>发包人提供的资料</w:t>
      </w:r>
      <w:r>
        <w:rPr>
          <w:color w:val="auto"/>
          <w:highlight w:val="none"/>
        </w:rPr>
        <w:tab/>
      </w:r>
      <w:r>
        <w:rPr>
          <w:color w:val="auto"/>
          <w:highlight w:val="none"/>
        </w:rPr>
        <w:fldChar w:fldCharType="begin"/>
      </w:r>
      <w:r>
        <w:rPr>
          <w:color w:val="auto"/>
          <w:highlight w:val="none"/>
        </w:rPr>
        <w:instrText xml:space="preserve"> PAGEREF _Toc69199927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三</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第七章</w:t>
      </w:r>
      <w:r>
        <w:rPr>
          <w:rStyle w:val="49"/>
          <w:rFonts w:eastAsia="黑体"/>
          <w:color w:val="auto"/>
          <w:highlight w:val="none"/>
        </w:rPr>
        <w:t xml:space="preserve">  </w:t>
      </w:r>
      <w:r>
        <w:rPr>
          <w:rStyle w:val="49"/>
          <w:rFonts w:hint="eastAsia" w:eastAsia="黑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_Toc69199929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"_Toc69199930"</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第一节</w:t>
      </w:r>
      <w:r>
        <w:rPr>
          <w:rStyle w:val="49"/>
          <w:rFonts w:eastAsia="黑体"/>
          <w:color w:val="auto"/>
          <w:highlight w:val="none"/>
        </w:rPr>
        <w:t xml:space="preserve"> </w:t>
      </w:r>
      <w:r>
        <w:rPr>
          <w:rStyle w:val="49"/>
          <w:rFonts w:hint="eastAsia" w:eastAsia="黑体"/>
          <w:color w:val="auto"/>
          <w:highlight w:val="none"/>
        </w:rPr>
        <w:t>投标函及附录格式</w:t>
      </w:r>
      <w:r>
        <w:rPr>
          <w:color w:val="auto"/>
          <w:highlight w:val="none"/>
        </w:rPr>
        <w:tab/>
      </w:r>
      <w:r>
        <w:rPr>
          <w:color w:val="auto"/>
          <w:highlight w:val="none"/>
        </w:rPr>
        <w:fldChar w:fldCharType="begin"/>
      </w:r>
      <w:r>
        <w:rPr>
          <w:color w:val="auto"/>
          <w:highlight w:val="none"/>
        </w:rPr>
        <w:instrText xml:space="preserve"> PAGEREF _Toc69199930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目</w:t>
      </w:r>
      <w:r>
        <w:rPr>
          <w:rStyle w:val="49"/>
          <w:rFonts w:eastAsia="黑体"/>
          <w:color w:val="auto"/>
          <w:highlight w:val="none"/>
        </w:rPr>
        <w:t xml:space="preserve">    </w:t>
      </w:r>
      <w:r>
        <w:rPr>
          <w:rStyle w:val="49"/>
          <w:rFonts w:hint="eastAsia" w:eastAsia="黑体"/>
          <w:color w:val="auto"/>
          <w:highlight w:val="none"/>
        </w:rPr>
        <w:t>录</w:t>
      </w:r>
      <w:r>
        <w:rPr>
          <w:color w:val="auto"/>
          <w:highlight w:val="none"/>
        </w:rPr>
        <w:tab/>
      </w:r>
      <w:r>
        <w:rPr>
          <w:color w:val="auto"/>
          <w:highlight w:val="none"/>
        </w:rPr>
        <w:fldChar w:fldCharType="begin"/>
      </w:r>
      <w:r>
        <w:rPr>
          <w:color w:val="auto"/>
          <w:highlight w:val="none"/>
        </w:rPr>
        <w:instrText xml:space="preserve"> PAGEREF _Toc69199931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投标函及附录</w:t>
      </w:r>
      <w:r>
        <w:rPr>
          <w:color w:val="auto"/>
          <w:highlight w:val="none"/>
        </w:rPr>
        <w:tab/>
      </w:r>
      <w:r>
        <w:rPr>
          <w:color w:val="auto"/>
          <w:highlight w:val="none"/>
        </w:rPr>
        <w:fldChar w:fldCharType="begin"/>
      </w:r>
      <w:r>
        <w:rPr>
          <w:color w:val="auto"/>
          <w:highlight w:val="none"/>
        </w:rPr>
        <w:instrText xml:space="preserve"> PAGEREF _Toc69199932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_Toc69199933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_Toc69199934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lang w:eastAsia="zh-CN"/>
        </w:rPr>
        <w:t>共同投标协议</w:t>
      </w:r>
      <w:r>
        <w:rPr>
          <w:rStyle w:val="49"/>
          <w:rFonts w:hint="eastAsia" w:ascii="黑体" w:hAnsi="黑体" w:eastAsia="黑体"/>
          <w:color w:val="auto"/>
          <w:highlight w:val="none"/>
        </w:rPr>
        <w:t>（</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本项目适用，</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本项目不适用）</w:t>
      </w:r>
      <w:r>
        <w:rPr>
          <w:color w:val="auto"/>
          <w:highlight w:val="none"/>
        </w:rPr>
        <w:tab/>
      </w:r>
      <w:r>
        <w:rPr>
          <w:color w:val="auto"/>
          <w:highlight w:val="none"/>
        </w:rPr>
        <w:fldChar w:fldCharType="begin"/>
      </w:r>
      <w:r>
        <w:rPr>
          <w:color w:val="auto"/>
          <w:highlight w:val="none"/>
        </w:rPr>
        <w:instrText xml:space="preserve"> PAGEREF _Toc69199935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投标保证</w:t>
      </w:r>
      <w:r>
        <w:rPr>
          <w:color w:val="auto"/>
          <w:highlight w:val="none"/>
        </w:rPr>
        <w:tab/>
      </w:r>
      <w:r>
        <w:rPr>
          <w:color w:val="auto"/>
          <w:highlight w:val="none"/>
        </w:rPr>
        <w:fldChar w:fldCharType="begin"/>
      </w:r>
      <w:r>
        <w:rPr>
          <w:color w:val="auto"/>
          <w:highlight w:val="none"/>
        </w:rPr>
        <w:instrText xml:space="preserve"> PAGEREF _Toc69199936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_Toc69199937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1</w:t>
      </w:r>
      <w:r>
        <w:rPr>
          <w:rStyle w:val="49"/>
          <w:rFonts w:hint="eastAsia" w:eastAsia="黑体"/>
          <w:color w:val="auto"/>
          <w:highlight w:val="none"/>
        </w:rPr>
        <w:t>）项目管理机构组成表</w:t>
      </w:r>
      <w:r>
        <w:rPr>
          <w:color w:val="auto"/>
          <w:highlight w:val="none"/>
        </w:rPr>
        <w:tab/>
      </w:r>
      <w:r>
        <w:rPr>
          <w:color w:val="auto"/>
          <w:highlight w:val="none"/>
        </w:rPr>
        <w:fldChar w:fldCharType="begin"/>
      </w:r>
      <w:r>
        <w:rPr>
          <w:color w:val="auto"/>
          <w:highlight w:val="none"/>
        </w:rPr>
        <w:instrText xml:space="preserve"> PAGEREF _Toc69199938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2</w:t>
      </w:r>
      <w:r>
        <w:rPr>
          <w:rStyle w:val="49"/>
          <w:rFonts w:hint="eastAsia" w:eastAsia="黑体"/>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_Toc69199939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拟分包计划表</w:t>
      </w:r>
      <w:r>
        <w:rPr>
          <w:color w:val="auto"/>
          <w:highlight w:val="none"/>
        </w:rPr>
        <w:tab/>
      </w:r>
      <w:r>
        <w:rPr>
          <w:color w:val="auto"/>
          <w:highlight w:val="none"/>
        </w:rPr>
        <w:fldChar w:fldCharType="begin"/>
      </w:r>
      <w:r>
        <w:rPr>
          <w:color w:val="auto"/>
          <w:highlight w:val="none"/>
        </w:rPr>
        <w:instrText xml:space="preserve"> PAGEREF _Toc69199940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资格审查、信用等资料</w:t>
      </w:r>
      <w:r>
        <w:rPr>
          <w:color w:val="auto"/>
          <w:highlight w:val="none"/>
        </w:rPr>
        <w:tab/>
      </w:r>
      <w:r>
        <w:rPr>
          <w:color w:val="auto"/>
          <w:highlight w:val="none"/>
        </w:rPr>
        <w:fldChar w:fldCharType="begin"/>
      </w:r>
      <w:r>
        <w:rPr>
          <w:color w:val="auto"/>
          <w:highlight w:val="none"/>
        </w:rPr>
        <w:instrText xml:space="preserve"> PAGEREF _Toc69199941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企业资信及履约能力自评表</w:t>
      </w:r>
      <w:r>
        <w:rPr>
          <w:color w:val="auto"/>
          <w:highlight w:val="none"/>
        </w:rPr>
        <w:tab/>
      </w:r>
      <w:r>
        <w:rPr>
          <w:color w:val="auto"/>
          <w:highlight w:val="none"/>
        </w:rPr>
        <w:fldChar w:fldCharType="begin"/>
      </w:r>
      <w:r>
        <w:rPr>
          <w:color w:val="auto"/>
          <w:highlight w:val="none"/>
        </w:rPr>
        <w:instrText xml:space="preserve"> PAGEREF _Toc69199942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承</w:t>
      </w:r>
      <w:r>
        <w:rPr>
          <w:rStyle w:val="49"/>
          <w:rFonts w:eastAsia="黑体"/>
          <w:color w:val="auto"/>
          <w:highlight w:val="none"/>
        </w:rPr>
        <w:t xml:space="preserve"> </w:t>
      </w:r>
      <w:r>
        <w:rPr>
          <w:rStyle w:val="49"/>
          <w:rFonts w:hint="eastAsia" w:eastAsia="黑体"/>
          <w:color w:val="auto"/>
          <w:highlight w:val="none"/>
        </w:rPr>
        <w:t>诺</w:t>
      </w:r>
      <w:r>
        <w:rPr>
          <w:rStyle w:val="49"/>
          <w:rFonts w:eastAsia="黑体"/>
          <w:color w:val="auto"/>
          <w:highlight w:val="none"/>
        </w:rPr>
        <w:t xml:space="preserve"> </w:t>
      </w:r>
      <w:r>
        <w:rPr>
          <w:rStyle w:val="49"/>
          <w:rFonts w:hint="eastAsia" w:eastAsia="黑体"/>
          <w:color w:val="auto"/>
          <w:highlight w:val="none"/>
        </w:rPr>
        <w:t>书</w:t>
      </w:r>
      <w:r>
        <w:rPr>
          <w:color w:val="auto"/>
          <w:highlight w:val="none"/>
        </w:rPr>
        <w:tab/>
      </w:r>
      <w:r>
        <w:rPr>
          <w:color w:val="auto"/>
          <w:highlight w:val="none"/>
        </w:rPr>
        <w:fldChar w:fldCharType="begin"/>
      </w:r>
      <w:r>
        <w:rPr>
          <w:color w:val="auto"/>
          <w:highlight w:val="none"/>
        </w:rPr>
        <w:instrText xml:space="preserve"> PAGEREF _Toc69199943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11.</w:t>
      </w:r>
      <w:r>
        <w:rPr>
          <w:rStyle w:val="49"/>
          <w:rFonts w:hint="eastAsia" w:eastAsia="黑体"/>
          <w:color w:val="auto"/>
          <w:highlight w:val="none"/>
        </w:rPr>
        <w:t>投标信息表</w:t>
      </w:r>
      <w:r>
        <w:rPr>
          <w:color w:val="auto"/>
          <w:highlight w:val="none"/>
        </w:rPr>
        <w:tab/>
      </w:r>
      <w:r>
        <w:rPr>
          <w:color w:val="auto"/>
          <w:highlight w:val="none"/>
        </w:rPr>
        <w:fldChar w:fldCharType="begin"/>
      </w:r>
      <w:r>
        <w:rPr>
          <w:color w:val="auto"/>
          <w:highlight w:val="none"/>
        </w:rPr>
        <w:instrText xml:space="preserve"> PAGEREF _Toc69199944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12.</w:t>
      </w:r>
      <w:r>
        <w:rPr>
          <w:rStyle w:val="49"/>
          <w:rFonts w:hint="eastAsia" w:eastAsia="黑体"/>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_Toc69199945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第二节</w:t>
      </w:r>
      <w:r>
        <w:rPr>
          <w:rStyle w:val="49"/>
          <w:rFonts w:eastAsia="黑体"/>
          <w:color w:val="auto"/>
          <w:highlight w:val="none"/>
        </w:rPr>
        <w:t xml:space="preserve"> </w:t>
      </w:r>
      <w:r>
        <w:rPr>
          <w:rStyle w:val="49"/>
          <w:rFonts w:hint="eastAsia" w:eastAsia="黑体"/>
          <w:color w:val="auto"/>
          <w:highlight w:val="none"/>
        </w:rPr>
        <w:t>投标报价格式</w:t>
      </w:r>
      <w:r>
        <w:rPr>
          <w:color w:val="auto"/>
          <w:highlight w:val="none"/>
        </w:rPr>
        <w:tab/>
      </w:r>
      <w:r>
        <w:rPr>
          <w:color w:val="auto"/>
          <w:highlight w:val="none"/>
        </w:rPr>
        <w:fldChar w:fldCharType="begin"/>
      </w:r>
      <w:r>
        <w:rPr>
          <w:color w:val="auto"/>
          <w:highlight w:val="none"/>
        </w:rPr>
        <w:instrText xml:space="preserve"> PAGEREF _Toc69199946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第三节</w:t>
      </w:r>
      <w:r>
        <w:rPr>
          <w:rStyle w:val="49"/>
          <w:rFonts w:eastAsia="黑体"/>
          <w:color w:val="auto"/>
          <w:highlight w:val="none"/>
        </w:rPr>
        <w:t xml:space="preserve">  </w:t>
      </w:r>
      <w:r>
        <w:rPr>
          <w:rStyle w:val="49"/>
          <w:rFonts w:hint="eastAsia" w:eastAsia="黑体"/>
          <w:color w:val="auto"/>
          <w:highlight w:val="none"/>
        </w:rPr>
        <w:t>技术方案格式</w:t>
      </w:r>
      <w:r>
        <w:rPr>
          <w:color w:val="auto"/>
          <w:highlight w:val="none"/>
        </w:rPr>
        <w:tab/>
      </w:r>
      <w:r>
        <w:rPr>
          <w:color w:val="auto"/>
          <w:highlight w:val="none"/>
        </w:rPr>
        <w:fldChar w:fldCharType="begin"/>
      </w:r>
      <w:r>
        <w:rPr>
          <w:color w:val="auto"/>
          <w:highlight w:val="none"/>
        </w:rPr>
        <w:instrText xml:space="preserve"> PAGEREF _Toc69199951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（暗标）</w:t>
      </w:r>
      <w:r>
        <w:rPr>
          <w:color w:val="auto"/>
          <w:highlight w:val="none"/>
        </w:rPr>
        <w:tab/>
      </w:r>
      <w:r>
        <w:rPr>
          <w:color w:val="auto"/>
          <w:highlight w:val="none"/>
        </w:rPr>
        <w:fldChar w:fldCharType="begin"/>
      </w:r>
      <w:r>
        <w:rPr>
          <w:color w:val="auto"/>
          <w:highlight w:val="none"/>
        </w:rPr>
        <w:instrText xml:space="preserve"> PAGEREF _Toc69199952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spacing w:line="340" w:lineRule="exact"/>
        <w:ind w:firstLine="437"/>
        <w:rPr>
          <w:rFonts w:eastAsia="黑体"/>
          <w:color w:val="auto"/>
          <w:sz w:val="32"/>
          <w:szCs w:val="32"/>
          <w:highlight w:val="none"/>
        </w:rPr>
      </w:pPr>
      <w:r>
        <w:rPr>
          <w:color w:val="auto"/>
          <w:sz w:val="24"/>
          <w:highlight w:val="none"/>
        </w:rPr>
        <w:fldChar w:fldCharType="end"/>
      </w: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2"/>
        <w:jc w:val="center"/>
        <w:rPr>
          <w:rFonts w:ascii="Times New Roman" w:hAnsi="Times New Roman" w:eastAsia="黑体"/>
          <w:b w:val="0"/>
          <w:bCs w:val="0"/>
          <w:color w:val="auto"/>
          <w:sz w:val="44"/>
          <w:szCs w:val="44"/>
          <w:highlight w:val="none"/>
        </w:rPr>
      </w:pPr>
      <w:bookmarkStart w:id="1" w:name="_Toc69199885"/>
      <w:bookmarkStart w:id="2" w:name="_Toc300677959"/>
      <w:r>
        <w:rPr>
          <w:rFonts w:ascii="Times New Roman" w:hAnsi="Times New Roman" w:eastAsia="黑体"/>
          <w:b w:val="0"/>
          <w:bCs w:val="0"/>
          <w:color w:val="auto"/>
          <w:sz w:val="44"/>
          <w:szCs w:val="44"/>
          <w:highlight w:val="none"/>
        </w:rPr>
        <w:t>第  一  卷</w:t>
      </w:r>
      <w:bookmarkEnd w:id="1"/>
      <w:bookmarkEnd w:id="2"/>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3" w:name="_Toc300677960"/>
    </w:p>
    <w:p>
      <w:pPr>
        <w:pStyle w:val="2"/>
        <w:spacing w:before="0" w:after="0"/>
        <w:jc w:val="center"/>
        <w:rPr>
          <w:rFonts w:ascii="Times New Roman" w:hAnsi="Times New Roman" w:eastAsia="黑体"/>
          <w:b w:val="0"/>
          <w:bCs w:val="0"/>
          <w:color w:val="auto"/>
          <w:highlight w:val="none"/>
        </w:rPr>
      </w:pPr>
      <w:bookmarkStart w:id="4" w:name="_Toc69199886"/>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3"/>
      <w:bookmarkEnd w:id="4"/>
    </w:p>
    <w:p>
      <w:pPr>
        <w:rPr>
          <w:color w:val="auto"/>
          <w:highlight w:val="none"/>
        </w:rPr>
      </w:pPr>
    </w:p>
    <w:p>
      <w:pPr>
        <w:jc w:val="center"/>
        <w:rPr>
          <w:rFonts w:hint="eastAsia"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招标公告</w:t>
      </w:r>
    </w:p>
    <w:p>
      <w:pPr>
        <w:jc w:val="center"/>
        <w:rPr>
          <w:rFonts w:eastAsia="黑体"/>
          <w:color w:val="auto"/>
          <w:sz w:val="28"/>
          <w:highlight w:val="none"/>
        </w:rPr>
      </w:pPr>
    </w:p>
    <w:p>
      <w:pPr>
        <w:pStyle w:val="3"/>
        <w:spacing w:before="0" w:after="0" w:line="360" w:lineRule="auto"/>
        <w:rPr>
          <w:rFonts w:ascii="Times New Roman" w:hAnsi="Times New Roman" w:eastAsia="黑体"/>
          <w:b w:val="0"/>
          <w:bCs w:val="0"/>
          <w:color w:val="auto"/>
          <w:sz w:val="30"/>
          <w:highlight w:val="none"/>
        </w:rPr>
      </w:pPr>
      <w:bookmarkStart w:id="5" w:name="_Toc300677961"/>
      <w:bookmarkStart w:id="6" w:name="_Toc69199887"/>
      <w:bookmarkStart w:id="7" w:name="_Toc9178495"/>
      <w:r>
        <w:rPr>
          <w:rFonts w:ascii="Times New Roman" w:hAnsi="Times New Roman" w:eastAsia="黑体"/>
          <w:b w:val="0"/>
          <w:bCs w:val="0"/>
          <w:color w:val="auto"/>
          <w:sz w:val="30"/>
          <w:highlight w:val="none"/>
        </w:rPr>
        <w:t>1.</w:t>
      </w:r>
      <w:bookmarkEnd w:id="5"/>
      <w:r>
        <w:rPr>
          <w:rFonts w:ascii="Times New Roman" w:hAnsi="Times New Roman" w:eastAsia="黑体"/>
          <w:b w:val="0"/>
          <w:bCs w:val="0"/>
          <w:color w:val="auto"/>
          <w:sz w:val="30"/>
          <w:highlight w:val="none"/>
        </w:rPr>
        <w:t>项目概况</w:t>
      </w:r>
      <w:bookmarkEnd w:id="6"/>
      <w:bookmarkEnd w:id="7"/>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hint="eastAsia"/>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pPr>
        <w:snapToGrid w:val="0"/>
        <w:spacing w:line="360" w:lineRule="auto"/>
        <w:ind w:firstLine="420" w:firstLineChars="200"/>
        <w:rPr>
          <w:rFonts w:hint="eastAsia"/>
          <w:color w:val="auto"/>
          <w:szCs w:val="21"/>
          <w:highlight w:val="none"/>
          <w:lang w:eastAsia="zh-CN"/>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r>
        <w:rPr>
          <w:rFonts w:hint="eastAsia" w:ascii="宋体" w:hAnsi="宋体"/>
          <w:color w:val="auto"/>
          <w:szCs w:val="21"/>
          <w:highlight w:val="none"/>
          <w:lang w:val="en-US" w:eastAsia="zh-CN"/>
        </w:rPr>
        <w:t>”</w:t>
      </w:r>
      <w:r>
        <w:rPr>
          <w:rFonts w:hint="eastAsia" w:ascii="宋体" w:hAnsi="宋体"/>
          <w:color w:val="auto"/>
          <w:szCs w:val="21"/>
          <w:highlight w:val="none"/>
        </w:rPr>
        <w:t>，单项合同额作为考核指标时，招标人应在招标文件中明确单项合同额所涵盖的范围）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bookmarkStart w:id="8" w:name="_Hlk53729196"/>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8"/>
      <w:r>
        <w:rPr>
          <w:color w:val="auto"/>
          <w:highlight w:val="none"/>
        </w:rPr>
        <w:t>；</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hint="eastAsia" w:ascii="Times New Roman" w:hAnsi="Times New Roman" w:eastAsia="黑体"/>
          <w:b w:val="0"/>
          <w:bCs w:val="0"/>
          <w:color w:val="auto"/>
          <w:sz w:val="30"/>
          <w:highlight w:val="none"/>
        </w:rPr>
      </w:pPr>
      <w:bookmarkStart w:id="9" w:name="_Toc9178496"/>
      <w:bookmarkStart w:id="10" w:name="_Toc69199888"/>
      <w:bookmarkStart w:id="11" w:name="_Toc300677963"/>
      <w:r>
        <w:rPr>
          <w:rFonts w:ascii="Times New Roman" w:hAnsi="Times New Roman" w:eastAsia="黑体"/>
          <w:b w:val="0"/>
          <w:bCs w:val="0"/>
          <w:color w:val="auto"/>
          <w:sz w:val="30"/>
          <w:highlight w:val="none"/>
        </w:rPr>
        <w:t>2.资格要求</w:t>
      </w:r>
      <w:bookmarkEnd w:id="9"/>
      <w:bookmarkEnd w:id="10"/>
      <w:bookmarkEnd w:id="1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2.3  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2.4</w:t>
      </w:r>
      <w:r>
        <w:rPr>
          <w:color w:val="auto"/>
          <w:highlight w:val="none"/>
        </w:rPr>
        <w:t xml:space="preserve">  </w:t>
      </w:r>
      <w:r>
        <w:rPr>
          <w:rFonts w:hint="eastAsia"/>
          <w:color w:val="auto"/>
          <w:highlight w:val="none"/>
        </w:rPr>
        <w:t>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ind w:firstLine="300" w:firstLineChars="100"/>
        <w:rPr>
          <w:rFonts w:hint="eastAsia" w:ascii="Times New Roman" w:hAnsi="Times New Roman" w:eastAsia="黑体"/>
          <w:b w:val="0"/>
          <w:bCs w:val="0"/>
          <w:color w:val="auto"/>
          <w:sz w:val="30"/>
          <w:highlight w:val="none"/>
        </w:rPr>
      </w:pPr>
      <w:bookmarkStart w:id="12" w:name="_Toc69199889"/>
      <w:bookmarkStart w:id="13" w:name="_Toc9178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2"/>
      <w:bookmarkEnd w:id="13"/>
      <w:r>
        <w:rPr>
          <w:rFonts w:hint="eastAsia" w:ascii="Times New Roman" w:hAnsi="Times New Roman" w:eastAsia="黑体"/>
          <w:b w:val="0"/>
          <w:bCs w:val="0"/>
          <w:color w:val="auto"/>
          <w:sz w:val="30"/>
          <w:highlight w:val="none"/>
        </w:rPr>
        <w:t xml:space="preserve">    </w:t>
      </w:r>
    </w:p>
    <w:p>
      <w:pPr>
        <w:snapToGrid w:val="0"/>
        <w:spacing w:line="360" w:lineRule="auto"/>
        <w:ind w:firstLine="630" w:firstLineChars="300"/>
        <w:rPr>
          <w:rFonts w:hint="eastAsia"/>
          <w:color w:val="auto"/>
          <w:highlight w:val="none"/>
        </w:rPr>
      </w:pPr>
      <w:bookmarkStart w:id="14" w:name="_Toc9189272"/>
      <w:bookmarkStart w:id="15" w:name="_Toc9188856"/>
      <w:bookmarkStart w:id="16" w:name="_Toc9178498"/>
      <w:bookmarkStart w:id="17" w:name="_Toc9178302"/>
      <w:bookmarkStart w:id="18" w:name="_Toc9178161"/>
      <w:r>
        <w:rPr>
          <w:rFonts w:hint="eastAsia"/>
          <w:color w:val="auto"/>
          <w:highlight w:val="none"/>
        </w:rPr>
        <w:t>采用</w:t>
      </w:r>
      <w:bookmarkEnd w:id="14"/>
      <w:bookmarkEnd w:id="15"/>
      <w:bookmarkEnd w:id="16"/>
      <w:bookmarkEnd w:id="17"/>
      <w:bookmarkEnd w:id="18"/>
      <w:bookmarkStart w:id="19" w:name="_Toc9178303"/>
      <w:bookmarkStart w:id="20" w:name="_Toc9178162"/>
      <w:bookmarkStart w:id="21" w:name="_Toc9188857"/>
      <w:bookmarkStart w:id="22" w:name="_Toc9178499"/>
      <w:bookmarkStart w:id="23" w:name="_Toc9189273"/>
      <w:r>
        <w:rPr>
          <w:rFonts w:hint="eastAsia"/>
          <w:color w:val="auto"/>
          <w:highlight w:val="none"/>
        </w:rPr>
        <w:t>资格后审方式</w:t>
      </w:r>
      <w:bookmarkEnd w:id="19"/>
      <w:bookmarkEnd w:id="20"/>
      <w:bookmarkEnd w:id="21"/>
      <w:bookmarkEnd w:id="22"/>
      <w:bookmarkEnd w:id="23"/>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4" w:name="_Toc300677967"/>
      <w:bookmarkStart w:id="25" w:name="_Toc69199890"/>
      <w:bookmarkStart w:id="26" w:name="_Toc9178500"/>
      <w:r>
        <w:rPr>
          <w:rFonts w:ascii="Times New Roman" w:hAnsi="Times New Roman" w:eastAsia="黑体"/>
          <w:b w:val="0"/>
          <w:bCs w:val="0"/>
          <w:color w:val="auto"/>
          <w:sz w:val="30"/>
          <w:highlight w:val="none"/>
        </w:rPr>
        <w:t>4.评标办法</w:t>
      </w:r>
      <w:bookmarkEnd w:id="24"/>
      <w:bookmarkEnd w:id="25"/>
      <w:bookmarkEnd w:id="26"/>
    </w:p>
    <w:p>
      <w:pPr>
        <w:spacing w:line="360" w:lineRule="auto"/>
        <w:ind w:firstLine="525" w:firstLineChars="250"/>
        <w:rPr>
          <w:color w:val="auto"/>
          <w:highlight w:val="none"/>
        </w:rPr>
      </w:pPr>
      <w:r>
        <w:rPr>
          <w:rFonts w:hint="eastAsia" w:ascii="宋体" w:hAnsi="宋体"/>
          <w:color w:val="auto"/>
          <w:highlight w:val="none"/>
        </w:rPr>
        <w:t>本招标项目采用</w:t>
      </w:r>
      <w:r>
        <w:rPr>
          <w:rFonts w:hint="eastAsia" w:ascii="宋体" w:hAnsi="宋体"/>
          <w:color w:val="auto"/>
          <w:highlight w:val="none"/>
          <w:u w:val="single"/>
        </w:rPr>
        <w:t xml:space="preserve"> </w:t>
      </w:r>
      <w:r>
        <w:rPr>
          <w:rFonts w:hint="eastAsia" w:ascii="宋体" w:hAnsi="宋体" w:cs="仿宋_GB2312"/>
          <w:color w:val="auto"/>
          <w:szCs w:val="21"/>
          <w:highlight w:val="none"/>
          <w:u w:val="single"/>
        </w:rPr>
        <w:t>湘建监督[</w:t>
      </w:r>
      <w:r>
        <w:rPr>
          <w:rFonts w:hint="eastAsia" w:ascii="宋体" w:hAnsi="宋体" w:cs="仿宋_GB2312"/>
          <w:color w:val="auto"/>
          <w:szCs w:val="21"/>
          <w:highlight w:val="none"/>
          <w:u w:val="single"/>
          <w:lang w:val="en-US" w:eastAsia="zh-CN"/>
        </w:rPr>
        <w:t>2024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34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号 </w:t>
      </w:r>
      <w:r>
        <w:rPr>
          <w:rFonts w:hint="eastAsia" w:ascii="宋体" w:hAnsi="宋体"/>
          <w:color w:val="auto"/>
          <w:highlight w:val="none"/>
        </w:rPr>
        <w:t>文件规定的</w:t>
      </w:r>
      <w:r>
        <w:rPr>
          <w:color w:val="auto"/>
          <w:highlight w:val="none"/>
        </w:rPr>
        <w:t>综合评估法。</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7" w:name="_Toc300677964"/>
      <w:bookmarkStart w:id="28" w:name="_Toc69199891"/>
      <w:bookmarkStart w:id="29" w:name="_Toc9178501"/>
      <w:r>
        <w:rPr>
          <w:rFonts w:ascii="Times New Roman" w:hAnsi="Times New Roman" w:eastAsia="黑体"/>
          <w:b w:val="0"/>
          <w:bCs w:val="0"/>
          <w:color w:val="auto"/>
          <w:sz w:val="30"/>
          <w:highlight w:val="none"/>
        </w:rPr>
        <w:t>5.招标文件的获取</w:t>
      </w:r>
      <w:bookmarkEnd w:id="27"/>
      <w:bookmarkEnd w:id="28"/>
      <w:bookmarkEnd w:id="29"/>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30" w:name="_Toc9178502"/>
      <w:bookmarkStart w:id="31" w:name="_Toc300677966"/>
      <w:r>
        <w:rPr>
          <w:rFonts w:hint="eastAsia" w:ascii="Times New Roman" w:hAnsi="Times New Roman" w:eastAsia="黑体"/>
          <w:b w:val="0"/>
          <w:bCs w:val="0"/>
          <w:color w:val="auto"/>
          <w:sz w:val="30"/>
          <w:highlight w:val="none"/>
        </w:rPr>
        <w:t xml:space="preserve"> </w:t>
      </w:r>
      <w:bookmarkStart w:id="32" w:name="_Toc69199892"/>
      <w:r>
        <w:rPr>
          <w:rFonts w:ascii="Times New Roman" w:hAnsi="Times New Roman" w:eastAsia="黑体"/>
          <w:b w:val="0"/>
          <w:bCs w:val="0"/>
          <w:color w:val="auto"/>
          <w:sz w:val="30"/>
          <w:highlight w:val="none"/>
        </w:rPr>
        <w:t>6.投标文件的递交</w:t>
      </w:r>
      <w:bookmarkEnd w:id="30"/>
      <w:bookmarkEnd w:id="31"/>
      <w:bookmarkEnd w:id="32"/>
    </w:p>
    <w:p>
      <w:pPr>
        <w:spacing w:line="360" w:lineRule="auto"/>
        <w:ind w:firstLine="420" w:firstLineChars="200"/>
        <w:rPr>
          <w:color w:val="auto"/>
          <w:highlight w:val="none"/>
        </w:rPr>
      </w:pPr>
      <w:r>
        <w:rPr>
          <w:color w:val="auto"/>
          <w:highlight w:val="none"/>
        </w:rPr>
        <w:t xml:space="preserve"> 6.1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Times New Roman" w:hAnsi="Times New Roman" w:eastAsia="黑体"/>
          <w:b w:val="0"/>
          <w:bCs w:val="0"/>
          <w:color w:val="auto"/>
          <w:sz w:val="30"/>
          <w:highlight w:val="none"/>
        </w:rPr>
      </w:pPr>
      <w:bookmarkStart w:id="33" w:name="_Toc69199893"/>
      <w:bookmarkStart w:id="34" w:name="_Toc9178503"/>
      <w:bookmarkStart w:id="35" w:name="_Toc300677969"/>
      <w:r>
        <w:rPr>
          <w:rFonts w:ascii="Times New Roman" w:hAnsi="Times New Roman" w:eastAsia="黑体"/>
          <w:b w:val="0"/>
          <w:bCs w:val="0"/>
          <w:color w:val="auto"/>
          <w:sz w:val="30"/>
          <w:highlight w:val="none"/>
        </w:rPr>
        <w:t>7.发布公告的媒介</w:t>
      </w:r>
      <w:bookmarkEnd w:id="33"/>
      <w:bookmarkEnd w:id="34"/>
      <w:bookmarkEnd w:id="35"/>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rPr>
        <w:t>上发布。</w:t>
      </w:r>
    </w:p>
    <w:p>
      <w:pPr>
        <w:pStyle w:val="3"/>
        <w:spacing w:before="0" w:after="0" w:line="360" w:lineRule="auto"/>
        <w:rPr>
          <w:rFonts w:ascii="Times New Roman" w:hAnsi="Times New Roman" w:eastAsia="黑体"/>
          <w:b w:val="0"/>
          <w:bCs w:val="0"/>
          <w:color w:val="auto"/>
          <w:sz w:val="30"/>
          <w:highlight w:val="none"/>
        </w:rPr>
      </w:pPr>
      <w:bookmarkStart w:id="36" w:name="_Toc9178504"/>
      <w:bookmarkStart w:id="37" w:name="_Toc69199894"/>
      <w:bookmarkStart w:id="38" w:name="_Toc300677968"/>
      <w:r>
        <w:rPr>
          <w:rFonts w:ascii="Times New Roman" w:hAnsi="Times New Roman" w:eastAsia="黑体"/>
          <w:b w:val="0"/>
          <w:bCs w:val="0"/>
          <w:color w:val="auto"/>
          <w:sz w:val="30"/>
          <w:highlight w:val="none"/>
        </w:rPr>
        <w:t>8.行政监督</w:t>
      </w:r>
      <w:bookmarkEnd w:id="36"/>
      <w:bookmarkEnd w:id="37"/>
      <w:bookmarkEnd w:id="38"/>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pStyle w:val="3"/>
        <w:snapToGrid w:val="0"/>
        <w:spacing w:before="0" w:after="0" w:line="360" w:lineRule="auto"/>
        <w:rPr>
          <w:rFonts w:ascii="Times New Roman" w:hAnsi="Times New Roman" w:eastAsia="黑体"/>
          <w:b w:val="0"/>
          <w:bCs w:val="0"/>
          <w:color w:val="auto"/>
          <w:sz w:val="30"/>
          <w:highlight w:val="none"/>
        </w:rPr>
      </w:pPr>
      <w:bookmarkStart w:id="39" w:name="_Toc9178505"/>
      <w:bookmarkStart w:id="40" w:name="_Toc300677970"/>
      <w:bookmarkStart w:id="41" w:name="_Toc69199895"/>
      <w:r>
        <w:rPr>
          <w:rFonts w:ascii="Times New Roman" w:hAnsi="Times New Roman" w:eastAsia="黑体"/>
          <w:b w:val="0"/>
          <w:bCs w:val="0"/>
          <w:color w:val="auto"/>
          <w:sz w:val="30"/>
          <w:highlight w:val="none"/>
        </w:rPr>
        <w:t>9.其它</w:t>
      </w:r>
      <w:bookmarkEnd w:id="39"/>
      <w:bookmarkEnd w:id="40"/>
      <w:bookmarkEnd w:id="41"/>
    </w:p>
    <w:p>
      <w:pPr>
        <w:snapToGrid w:val="0"/>
        <w:spacing w:line="360" w:lineRule="auto"/>
        <w:ind w:firstLine="420" w:firstLineChars="200"/>
        <w:rPr>
          <w:rFonts w:hint="eastAsia"/>
          <w:color w:val="auto"/>
          <w:szCs w:val="21"/>
          <w:highlight w:val="none"/>
        </w:rPr>
      </w:pPr>
      <w:r>
        <w:rPr>
          <w:rFonts w:hint="eastAsia"/>
          <w:color w:val="auto"/>
          <w:highlight w:val="none"/>
        </w:rPr>
        <w:t>9.</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42" w:name="_Toc9178506"/>
      <w:bookmarkStart w:id="43" w:name="_Toc300677971"/>
      <w:bookmarkStart w:id="44" w:name="_Toc69199896"/>
      <w:r>
        <w:rPr>
          <w:rFonts w:ascii="Times New Roman" w:hAnsi="Times New Roman" w:eastAsia="黑体"/>
          <w:b w:val="0"/>
          <w:bCs w:val="0"/>
          <w:color w:val="auto"/>
          <w:sz w:val="30"/>
          <w:highlight w:val="none"/>
        </w:rPr>
        <w:t>10.联系方式</w:t>
      </w:r>
      <w:bookmarkEnd w:id="42"/>
      <w:bookmarkEnd w:id="43"/>
      <w:bookmarkEnd w:id="44"/>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color w:val="auto"/>
          <w:highlight w:val="none"/>
        </w:rPr>
        <w:sectPr>
          <w:footerReference r:id="rId6" w:type="first"/>
          <w:footerReference r:id="rId5" w:type="default"/>
          <w:pgSz w:w="11906" w:h="16838"/>
          <w:pgMar w:top="1418" w:right="1418" w:bottom="1418" w:left="1418" w:header="851" w:footer="1020" w:gutter="0"/>
          <w:pgNumType w:start="1"/>
          <w:cols w:space="720" w:num="1"/>
          <w:titlePg/>
          <w:docGrid w:linePitch="306" w:charSpace="0"/>
        </w:sectPr>
      </w:pPr>
      <w:bookmarkStart w:id="45" w:name="_Hlk66101745"/>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bookmarkEnd w:id="45"/>
    <w:p>
      <w:pPr>
        <w:pStyle w:val="2"/>
        <w:spacing w:before="0" w:after="0"/>
        <w:jc w:val="center"/>
        <w:rPr>
          <w:rFonts w:hint="eastAsia" w:ascii="Times New Roman" w:hAnsi="Times New Roman" w:eastAsia="黑体"/>
          <w:b w:val="0"/>
          <w:bCs w:val="0"/>
          <w:color w:val="auto"/>
          <w:highlight w:val="none"/>
        </w:rPr>
      </w:pPr>
      <w:bookmarkStart w:id="46" w:name="_Toc300677986"/>
      <w:bookmarkStart w:id="47" w:name="_Toc69199897"/>
      <w:r>
        <w:rPr>
          <w:rFonts w:ascii="Times New Roman" w:hAnsi="Times New Roman" w:eastAsia="黑体"/>
          <w:b w:val="0"/>
          <w:bCs w:val="0"/>
          <w:color w:val="auto"/>
          <w:highlight w:val="none"/>
        </w:rPr>
        <w:t>第一章  投标邀请书</w:t>
      </w:r>
      <w:bookmarkEnd w:id="46"/>
      <w:r>
        <w:rPr>
          <w:rFonts w:hint="eastAsia" w:ascii="Times New Roman" w:hAnsi="Times New Roman" w:eastAsia="黑体"/>
          <w:b w:val="0"/>
          <w:bCs w:val="0"/>
          <w:color w:val="auto"/>
          <w:highlight w:val="none"/>
        </w:rPr>
        <w:t>（适用于邀请招标）</w:t>
      </w:r>
      <w:bookmarkEnd w:id="47"/>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480" w:lineRule="exact"/>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48" w:name="_Toc69199898"/>
      <w:bookmarkStart w:id="49" w:name="_Toc9178508"/>
      <w:r>
        <w:rPr>
          <w:rFonts w:ascii="Times New Roman" w:hAnsi="Times New Roman" w:eastAsia="黑体"/>
          <w:b w:val="0"/>
          <w:bCs w:val="0"/>
          <w:color w:val="auto"/>
          <w:sz w:val="30"/>
          <w:highlight w:val="none"/>
        </w:rPr>
        <w:t>1.项目概况</w:t>
      </w:r>
      <w:bookmarkEnd w:id="48"/>
      <w:bookmarkEnd w:id="49"/>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，主要建设内容</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420" w:firstLineChars="200"/>
        <w:rPr>
          <w:rFonts w:hint="eastAsia"/>
          <w:color w:val="auto"/>
          <w:szCs w:val="21"/>
          <w:highlight w:val="none"/>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r>
        <w:rPr>
          <w:color w:val="auto"/>
          <w:highlight w:val="none"/>
        </w:rPr>
        <w:t>；</w:t>
      </w:r>
      <w:r>
        <w:rPr>
          <w:color w:val="auto"/>
          <w:szCs w:val="21"/>
          <w:highlight w:val="none"/>
        </w:rPr>
        <w:t xml:space="preserve"> </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ascii="Times New Roman" w:hAnsi="Times New Roman" w:eastAsia="黑体"/>
          <w:b w:val="0"/>
          <w:bCs w:val="0"/>
          <w:color w:val="auto"/>
          <w:sz w:val="30"/>
          <w:highlight w:val="none"/>
        </w:rPr>
      </w:pPr>
      <w:bookmarkStart w:id="50" w:name="_Toc69199899"/>
      <w:bookmarkStart w:id="51" w:name="_Toc9178509"/>
      <w:r>
        <w:rPr>
          <w:rFonts w:ascii="Times New Roman" w:hAnsi="Times New Roman" w:eastAsia="黑体"/>
          <w:b w:val="0"/>
          <w:bCs w:val="0"/>
          <w:color w:val="auto"/>
          <w:sz w:val="30"/>
          <w:highlight w:val="none"/>
        </w:rPr>
        <w:t>2.资格要求</w:t>
      </w:r>
      <w:bookmarkEnd w:id="50"/>
      <w:bookmarkEnd w:id="5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资质，安全生产许可证处于有效期；</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 xml:space="preserve">2.3  </w:t>
      </w:r>
      <w:bookmarkStart w:id="52" w:name="_Hlk58935836"/>
      <w:r>
        <w:rPr>
          <w:color w:val="auto"/>
          <w:highlight w:val="none"/>
        </w:rPr>
        <w:t>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（不得设置类似业绩要求；以联合体投标的，拟任工程总承包项目负责人须为联合体牵头人单位人员）</w:t>
      </w:r>
      <w:r>
        <w:rPr>
          <w:rFonts w:hint="eastAsia"/>
          <w:color w:val="auto"/>
          <w:highlight w:val="none"/>
          <w:u w:val="none"/>
        </w:rPr>
        <w:t>；</w:t>
      </w:r>
    </w:p>
    <w:bookmarkEnd w:id="52"/>
    <w:p>
      <w:pPr>
        <w:spacing w:line="360" w:lineRule="auto"/>
        <w:ind w:firstLine="420" w:firstLineChars="200"/>
        <w:rPr>
          <w:color w:val="auto"/>
          <w:highlight w:val="none"/>
        </w:rPr>
      </w:pPr>
      <w:r>
        <w:rPr>
          <w:rFonts w:hint="eastAsia"/>
          <w:color w:val="auto"/>
          <w:highlight w:val="none"/>
        </w:rPr>
        <w:t>2.4拟任施工项目负责人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w:t>
      </w:r>
      <w:r>
        <w:rPr>
          <w:rFonts w:hint="eastAsia"/>
          <w:color w:val="auto"/>
          <w:highlight w:val="none"/>
        </w:rPr>
        <w:t xml:space="preserve"> </w:t>
      </w:r>
      <w:r>
        <w:rPr>
          <w:color w:val="auto"/>
          <w:highlight w:val="none"/>
        </w:rPr>
        <w:t xml:space="preserve"> 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rPr>
          <w:rFonts w:ascii="Times New Roman" w:hAnsi="Times New Roman" w:eastAsia="黑体"/>
          <w:b w:val="0"/>
          <w:bCs w:val="0"/>
          <w:color w:val="auto"/>
          <w:sz w:val="30"/>
          <w:highlight w:val="none"/>
        </w:rPr>
      </w:pPr>
      <w:bookmarkStart w:id="53" w:name="_Toc69199900"/>
      <w:bookmarkStart w:id="54" w:name="_Toc300677990"/>
      <w:bookmarkStart w:id="55" w:name="_Toc9178510"/>
      <w:r>
        <w:rPr>
          <w:rFonts w:ascii="Times New Roman" w:hAnsi="Times New Roman" w:eastAsia="黑体"/>
          <w:b w:val="0"/>
          <w:bCs w:val="0"/>
          <w:color w:val="auto"/>
          <w:sz w:val="30"/>
          <w:highlight w:val="none"/>
        </w:rPr>
        <w:t>3.招标文件的获取</w:t>
      </w:r>
      <w:bookmarkEnd w:id="53"/>
      <w:bookmarkEnd w:id="54"/>
      <w:bookmarkEnd w:id="55"/>
    </w:p>
    <w:p>
      <w:pPr>
        <w:spacing w:line="360" w:lineRule="auto"/>
        <w:ind w:firstLine="420" w:firstLineChars="200"/>
        <w:rPr>
          <w:color w:val="auto"/>
          <w:highlight w:val="none"/>
        </w:rPr>
      </w:pPr>
      <w:r>
        <w:rPr>
          <w:rFonts w:hint="eastAsia"/>
          <w:color w:val="auto"/>
          <w:highlight w:val="none"/>
        </w:rPr>
        <w:t>3.1</w:t>
      </w:r>
      <w:r>
        <w:rPr>
          <w:color w:val="auto"/>
          <w:highlight w:val="none"/>
        </w:rPr>
        <w:t>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rFonts w:hint="eastAsia"/>
          <w:color w:val="auto"/>
          <w:szCs w:val="21"/>
          <w:highlight w:val="none"/>
        </w:rPr>
      </w:pPr>
      <w:r>
        <w:rPr>
          <w:rFonts w:hint="eastAsia"/>
          <w:color w:val="auto"/>
          <w:highlight w:val="none"/>
        </w:rPr>
        <w:t>3</w:t>
      </w:r>
      <w:r>
        <w:rPr>
          <w:color w:val="auto"/>
          <w:highlight w:val="none"/>
        </w:rPr>
        <w:t>.2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56" w:name="_Toc69199901"/>
      <w:bookmarkStart w:id="57" w:name="_Toc300677991"/>
      <w:bookmarkStart w:id="58" w:name="_Toc9178511"/>
      <w:r>
        <w:rPr>
          <w:rFonts w:ascii="Times New Roman" w:hAnsi="Times New Roman" w:eastAsia="黑体"/>
          <w:b w:val="0"/>
          <w:bCs w:val="0"/>
          <w:color w:val="auto"/>
          <w:sz w:val="30"/>
          <w:highlight w:val="none"/>
        </w:rPr>
        <w:t>4.投标文件的递交</w:t>
      </w:r>
      <w:bookmarkEnd w:id="56"/>
      <w:bookmarkEnd w:id="57"/>
      <w:bookmarkEnd w:id="58"/>
    </w:p>
    <w:p>
      <w:pPr>
        <w:spacing w:line="360" w:lineRule="auto"/>
        <w:ind w:firstLine="420" w:firstLineChars="200"/>
        <w:rPr>
          <w:color w:val="auto"/>
          <w:highlight w:val="none"/>
        </w:rPr>
      </w:pPr>
      <w:r>
        <w:rPr>
          <w:rFonts w:hint="eastAsia"/>
          <w:color w:val="auto"/>
          <w:highlight w:val="none"/>
        </w:rPr>
        <w:t>4</w:t>
      </w:r>
      <w:r>
        <w:rPr>
          <w:color w:val="auto"/>
          <w:highlight w:val="none"/>
        </w:rPr>
        <w:t xml:space="preserve">.1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bookmarkStart w:id="59" w:name="_Hlk53581692"/>
      <w:r>
        <w:rPr>
          <w:rFonts w:hint="eastAsia"/>
          <w:color w:val="auto"/>
          <w:highlight w:val="none"/>
        </w:rPr>
        <w:t>电子招标投标交易平台</w:t>
      </w:r>
      <w:bookmarkEnd w:id="59"/>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210" w:firstLineChars="100"/>
        <w:rPr>
          <w:color w:val="auto"/>
          <w:highlight w:val="none"/>
        </w:rPr>
      </w:pPr>
    </w:p>
    <w:p>
      <w:pPr>
        <w:pStyle w:val="3"/>
        <w:spacing w:before="0" w:after="0" w:line="360" w:lineRule="auto"/>
        <w:rPr>
          <w:rFonts w:ascii="黑体" w:hAnsi="黑体" w:eastAsia="黑体"/>
          <w:b w:val="0"/>
          <w:bCs w:val="0"/>
          <w:color w:val="auto"/>
          <w:sz w:val="30"/>
          <w:highlight w:val="none"/>
        </w:rPr>
      </w:pPr>
      <w:bookmarkStart w:id="60" w:name="_Toc69199902"/>
      <w:bookmarkStart w:id="61" w:name="_Toc300677992"/>
      <w:bookmarkStart w:id="62" w:name="_Toc9178512"/>
      <w:r>
        <w:rPr>
          <w:rFonts w:hint="eastAsia" w:ascii="黑体" w:hAnsi="黑体" w:eastAsia="黑体"/>
          <w:b w:val="0"/>
          <w:bCs w:val="0"/>
          <w:color w:val="auto"/>
          <w:sz w:val="30"/>
          <w:highlight w:val="none"/>
        </w:rPr>
        <w:t>5.确认</w:t>
      </w:r>
      <w:bookmarkEnd w:id="60"/>
      <w:bookmarkEnd w:id="61"/>
      <w:bookmarkEnd w:id="62"/>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电子招标投标交易平台名称  </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shd w:val="pct10" w:color="auto" w:fill="FFFFFF"/>
        </w:rPr>
      </w:pPr>
    </w:p>
    <w:p>
      <w:pPr>
        <w:pStyle w:val="3"/>
        <w:spacing w:before="0" w:after="0" w:line="360" w:lineRule="auto"/>
        <w:rPr>
          <w:rFonts w:ascii="Times New Roman" w:hAnsi="Times New Roman" w:eastAsia="黑体"/>
          <w:b w:val="0"/>
          <w:bCs w:val="0"/>
          <w:color w:val="auto"/>
          <w:sz w:val="30"/>
          <w:highlight w:val="none"/>
        </w:rPr>
      </w:pPr>
      <w:bookmarkStart w:id="63" w:name="_Toc9178513"/>
      <w:bookmarkStart w:id="64" w:name="_Toc69199903"/>
      <w:bookmarkStart w:id="65" w:name="_Toc300677993"/>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.行政监督</w:t>
      </w:r>
      <w:bookmarkEnd w:id="63"/>
      <w:bookmarkEnd w:id="64"/>
      <w:bookmarkEnd w:id="65"/>
    </w:p>
    <w:p>
      <w:pPr>
        <w:snapToGrid w:val="0"/>
        <w:spacing w:line="360" w:lineRule="auto"/>
        <w:ind w:firstLine="420" w:firstLineChars="200"/>
        <w:rPr>
          <w:color w:val="auto"/>
          <w:szCs w:val="21"/>
          <w:highlight w:val="none"/>
        </w:rPr>
      </w:pPr>
      <w:r>
        <w:rPr>
          <w:color w:val="auto"/>
          <w:szCs w:val="21"/>
          <w:highlight w:val="none"/>
        </w:rPr>
        <w:t>本次</w:t>
      </w:r>
      <w:r>
        <w:rPr>
          <w:rFonts w:hint="eastAsia"/>
          <w:color w:val="auto"/>
          <w:szCs w:val="21"/>
          <w:highlight w:val="none"/>
          <w:lang w:val="en-US" w:eastAsia="zh-CN"/>
        </w:rPr>
        <w:t>招标</w:t>
      </w:r>
      <w:r>
        <w:rPr>
          <w:color w:val="auto"/>
          <w:szCs w:val="21"/>
          <w:highlight w:val="none"/>
        </w:rPr>
        <w:t>投标活动的监督机构为</w:t>
      </w:r>
      <w:r>
        <w:rPr>
          <w:color w:val="auto"/>
          <w:szCs w:val="21"/>
          <w:highlight w:val="none"/>
          <w:u w:val="single"/>
        </w:rPr>
        <w:t xml:space="preserve">                   </w:t>
      </w:r>
      <w:r>
        <w:rPr>
          <w:color w:val="auto"/>
          <w:szCs w:val="21"/>
          <w:highlight w:val="none"/>
        </w:rPr>
        <w:t>，电话</w:t>
      </w:r>
      <w:r>
        <w:rPr>
          <w:color w:val="auto"/>
          <w:szCs w:val="21"/>
          <w:highlight w:val="none"/>
          <w:u w:val="single"/>
        </w:rPr>
        <w:t xml:space="preserve">            </w:t>
      </w: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6" w:name="_Toc300677994"/>
      <w:bookmarkStart w:id="67" w:name="_Toc9178514"/>
      <w:bookmarkStart w:id="68" w:name="_Toc69199904"/>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66"/>
      <w:bookmarkEnd w:id="67"/>
      <w:bookmarkEnd w:id="68"/>
    </w:p>
    <w:p>
      <w:pPr>
        <w:snapToGrid w:val="0"/>
        <w:spacing w:line="360" w:lineRule="auto"/>
        <w:ind w:firstLine="420" w:firstLineChars="200"/>
        <w:rPr>
          <w:rFonts w:hint="eastAsia"/>
          <w:color w:val="auto"/>
          <w:szCs w:val="21"/>
          <w:highlight w:val="none"/>
        </w:rPr>
      </w:pPr>
      <w:r>
        <w:rPr>
          <w:rFonts w:hint="eastAsia"/>
          <w:color w:val="auto"/>
          <w:highlight w:val="none"/>
        </w:rPr>
        <w:t>7.</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9" w:name="_Toc69199905"/>
      <w:bookmarkStart w:id="70" w:name="_Toc9178515"/>
      <w:bookmarkStart w:id="71" w:name="_Toc300677995"/>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69"/>
      <w:bookmarkEnd w:id="70"/>
      <w:bookmarkEnd w:id="71"/>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jc w:val="right"/>
        <w:rPr>
          <w:color w:val="auto"/>
          <w:szCs w:val="21"/>
          <w:highlight w:val="none"/>
          <w:u w:val="single"/>
        </w:rPr>
      </w:pPr>
    </w:p>
    <w:p>
      <w:pPr>
        <w:spacing w:line="360" w:lineRule="auto"/>
        <w:jc w:val="right"/>
        <w:rPr>
          <w:color w:val="auto"/>
          <w:szCs w:val="21"/>
          <w:highlight w:val="none"/>
          <w:u w:val="single"/>
        </w:rPr>
      </w:pP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pStyle w:val="2"/>
        <w:spacing w:before="0" w:after="0"/>
        <w:rPr>
          <w:rFonts w:ascii="Times New Roman" w:hAnsi="Times New Roman" w:eastAsia="黑体"/>
          <w:b w:val="0"/>
          <w:bCs w:val="0"/>
          <w:color w:val="auto"/>
          <w:highlight w:val="none"/>
        </w:rPr>
      </w:pPr>
    </w:p>
    <w:p>
      <w:pPr>
        <w:widowControl/>
        <w:jc w:val="left"/>
        <w:rPr>
          <w:color w:val="auto"/>
          <w:highlight w:val="none"/>
          <w:lang w:val="zh-CN"/>
        </w:rPr>
      </w:pPr>
      <w:r>
        <w:rPr>
          <w:color w:val="auto"/>
          <w:highlight w:val="none"/>
          <w:lang w:val="zh-CN"/>
        </w:rPr>
        <w:br w:type="page"/>
      </w:r>
    </w:p>
    <w:p>
      <w:pPr>
        <w:rPr>
          <w:color w:val="auto"/>
          <w:highlight w:val="none"/>
          <w:lang w:val="zh-CN"/>
        </w:rPr>
      </w:pPr>
    </w:p>
    <w:p>
      <w:pPr>
        <w:pStyle w:val="2"/>
        <w:spacing w:before="0" w:after="0"/>
        <w:jc w:val="center"/>
        <w:rPr>
          <w:rFonts w:ascii="Times New Roman" w:hAnsi="Times New Roman" w:eastAsia="黑体"/>
          <w:b w:val="0"/>
          <w:bCs w:val="0"/>
          <w:color w:val="auto"/>
          <w:highlight w:val="none"/>
        </w:rPr>
      </w:pPr>
      <w:bookmarkStart w:id="72" w:name="_Toc69199906"/>
      <w:r>
        <w:rPr>
          <w:rFonts w:ascii="Times New Roman" w:hAnsi="Times New Roman" w:eastAsia="黑体"/>
          <w:b w:val="0"/>
          <w:bCs w:val="0"/>
          <w:color w:val="auto"/>
          <w:highlight w:val="none"/>
        </w:rPr>
        <w:t>第一章  资格预审通过通知书</w:t>
      </w:r>
      <w:bookmarkEnd w:id="72"/>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color w:val="auto"/>
          <w:szCs w:val="21"/>
          <w:highlight w:val="none"/>
        </w:rPr>
        <w:t>工程总承包</w:t>
      </w:r>
      <w:r>
        <w:rPr>
          <w:rFonts w:hint="eastAsia" w:ascii="宋体" w:hAnsi="宋体"/>
          <w:color w:val="auto"/>
          <w:szCs w:val="21"/>
          <w:highlight w:val="none"/>
        </w:rPr>
        <w:t>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起（北京时间，下同）在</w:t>
      </w:r>
      <w:r>
        <w:rPr>
          <w:rFonts w:hint="eastAsia" w:ascii="宋体" w:hAnsi="宋体"/>
          <w:color w:val="auto"/>
          <w:szCs w:val="21"/>
          <w:highlight w:val="none"/>
          <w:u w:val="single"/>
        </w:rPr>
        <w:t xml:space="preserve"> 电子招标投标交易平台名称</w:t>
      </w:r>
      <w:r>
        <w:rPr>
          <w:rFonts w:hint="eastAsia" w:ascii="宋体" w:hAnsi="宋体"/>
          <w:color w:val="auto"/>
          <w:szCs w:val="21"/>
          <w:highlight w:val="none"/>
        </w:rPr>
        <w:t xml:space="preserve"> 下载数据电文形式的招标文件。</w:t>
      </w:r>
    </w:p>
    <w:p>
      <w:pPr>
        <w:spacing w:line="360" w:lineRule="auto"/>
        <w:ind w:firstLine="420" w:firstLineChars="200"/>
        <w:rPr>
          <w:color w:val="auto"/>
          <w:highlight w:val="none"/>
          <w:u w:val="singl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w:t>
      </w:r>
    </w:p>
    <w:p>
      <w:pPr>
        <w:spacing w:line="360" w:lineRule="auto"/>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rFonts w:hint="eastAsia" w:ascii="宋体" w:hAnsi="宋体"/>
          <w:color w:val="auto"/>
          <w:szCs w:val="21"/>
          <w:highlight w:val="none"/>
        </w:rPr>
        <w:t>前在</w:t>
      </w:r>
      <w:r>
        <w:rPr>
          <w:rFonts w:hint="eastAsia"/>
          <w:color w:val="auto"/>
          <w:highlight w:val="none"/>
          <w:u w:val="single"/>
        </w:rPr>
        <w:t xml:space="preserve">  电子招标投标交易平台名称</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eastAsia"/>
          <w:color w:val="auto"/>
          <w:szCs w:val="21"/>
          <w:highlight w:val="none"/>
        </w:rPr>
      </w:pPr>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pStyle w:val="2"/>
        <w:spacing w:before="0" w:after="0"/>
        <w:jc w:val="center"/>
        <w:rPr>
          <w:rFonts w:ascii="Times New Roman" w:hAnsi="Times New Roman" w:eastAsia="黑体"/>
          <w:b w:val="0"/>
          <w:bCs w:val="0"/>
          <w:color w:val="auto"/>
          <w:highlight w:val="none"/>
        </w:rPr>
      </w:pPr>
      <w:r>
        <w:rPr>
          <w:rFonts w:eastAsia="黑体"/>
          <w:bCs w:val="0"/>
          <w:color w:val="auto"/>
          <w:sz w:val="28"/>
          <w:szCs w:val="28"/>
          <w:highlight w:val="none"/>
        </w:rPr>
        <w:br w:type="page"/>
      </w:r>
      <w:bookmarkStart w:id="73" w:name="_Toc69199907"/>
      <w:r>
        <w:rPr>
          <w:rFonts w:ascii="Times New Roman" w:hAnsi="Times New Roman" w:eastAsia="黑体"/>
          <w:b w:val="0"/>
          <w:bCs w:val="0"/>
          <w:color w:val="auto"/>
          <w:highlight w:val="none"/>
        </w:rPr>
        <w:t>第二章  投标人须知</w:t>
      </w:r>
      <w:bookmarkEnd w:id="73"/>
    </w:p>
    <w:p>
      <w:pPr>
        <w:rPr>
          <w:color w:val="auto"/>
          <w:highlight w:val="none"/>
        </w:rPr>
      </w:pPr>
    </w:p>
    <w:p>
      <w:pPr>
        <w:snapToGrid w:val="0"/>
        <w:jc w:val="center"/>
        <w:rPr>
          <w:rFonts w:eastAsia="黑体"/>
          <w:color w:val="auto"/>
          <w:sz w:val="28"/>
          <w:szCs w:val="28"/>
          <w:highlight w:val="none"/>
        </w:rPr>
      </w:pPr>
      <w:bookmarkStart w:id="74" w:name="_Toc300677997"/>
      <w:r>
        <w:rPr>
          <w:rFonts w:eastAsia="黑体"/>
          <w:color w:val="auto"/>
          <w:sz w:val="28"/>
          <w:szCs w:val="28"/>
          <w:highlight w:val="none"/>
        </w:rPr>
        <w:t>投标人须知前附表</w:t>
      </w:r>
      <w:bookmarkEnd w:id="7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5"/>
        <w:gridCol w:w="9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联 系 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eastAsia"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096"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设计要求的</w:t>
            </w: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施工要求的质量标准：</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770"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w:t>
            </w:r>
            <w:r>
              <w:rPr>
                <w:rFonts w:hint="default" w:ascii="Calibri" w:hAnsi="Calibri" w:cs="Calibri"/>
                <w:color w:val="auto"/>
                <w:szCs w:val="21"/>
                <w:highlight w:val="none"/>
              </w:rPr>
              <w:t>保修要求：</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096" w:type="dxa"/>
            <w:noWrap w:val="0"/>
            <w:vAlign w:val="center"/>
          </w:tcPr>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1.</w:t>
            </w:r>
            <w:r>
              <w:rPr>
                <w:rFonts w:hint="default" w:ascii="Calibri" w:hAnsi="Calibri" w:cs="Calibri"/>
                <w:color w:val="auto"/>
                <w:highlight w:val="none"/>
              </w:rPr>
              <w:t xml:space="preserve">具有独立法人资格并依法取得企业营业执照，营业执照处于有效期； </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2. 须同时具备以下资质，资质证书处于有效期内：</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（1）施工资质：</w:t>
            </w:r>
            <w:r>
              <w:rPr>
                <w:rFonts w:hint="default" w:ascii="Calibri" w:hAnsi="Calibri" w:cs="Calibri"/>
                <w:color w:val="auto"/>
                <w:highlight w:val="none"/>
              </w:rPr>
              <w:t>具备</w:t>
            </w:r>
            <w:r>
              <w:rPr>
                <w:rFonts w:hint="eastAsia" w:ascii="Calibri" w:hAnsi="Calibri" w:cs="Calibri"/>
                <w:color w:val="auto"/>
                <w:highlight w:val="none"/>
              </w:rPr>
              <w:t>住房城乡</w:t>
            </w:r>
            <w:r>
              <w:rPr>
                <w:rFonts w:hint="default" w:ascii="Calibri" w:hAnsi="Calibri" w:cs="Calibri"/>
                <w:color w:val="auto"/>
                <w:highlight w:val="none"/>
              </w:rPr>
              <w:t>建设主管部门颁发的</w:t>
            </w:r>
            <w:r>
              <w:rPr>
                <w:rFonts w:hint="default" w:ascii="Calibri" w:hAnsi="Calibri" w:cs="Calibri"/>
                <w:color w:val="auto"/>
                <w:highlight w:val="none"/>
                <w:u w:val="single"/>
              </w:rPr>
              <w:t xml:space="preserve">             </w:t>
            </w:r>
            <w:r>
              <w:rPr>
                <w:rFonts w:hint="default" w:ascii="Calibri" w:hAnsi="Calibri" w:cs="Calibri"/>
                <w:color w:val="auto"/>
                <w:highlight w:val="none"/>
              </w:rPr>
              <w:t>资质，</w:t>
            </w:r>
            <w:r>
              <w:rPr>
                <w:rFonts w:hint="default" w:ascii="Calibri" w:hAnsi="Calibri" w:cs="Calibri"/>
                <w:color w:val="auto"/>
                <w:highlight w:val="none"/>
                <w:u w:val="single"/>
              </w:rPr>
              <w:t>安全生产许可证处于有效期</w:t>
            </w:r>
            <w:r>
              <w:rPr>
                <w:rFonts w:hint="default" w:ascii="Calibri" w:hAnsi="Calibri" w:cs="Calibri"/>
                <w:color w:val="auto"/>
                <w:highlight w:val="none"/>
              </w:rPr>
              <w:t>；</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（2）设计资质：具备住房城乡</w:t>
            </w:r>
            <w:r>
              <w:rPr>
                <w:rFonts w:hint="default" w:ascii="Calibri" w:hAnsi="Calibri" w:cs="Calibri"/>
                <w:color w:val="auto"/>
                <w:highlight w:val="none"/>
              </w:rPr>
              <w:t>建设主管部门颁发的</w:t>
            </w:r>
            <w:r>
              <w:rPr>
                <w:rFonts w:hint="eastAsia" w:ascii="Calibri" w:hAnsi="Calibri" w:cs="Calibri"/>
                <w:color w:val="auto"/>
                <w:highlight w:val="none"/>
                <w:u w:val="single"/>
              </w:rPr>
              <w:t xml:space="preserve">            </w:t>
            </w:r>
            <w:r>
              <w:rPr>
                <w:rFonts w:hint="eastAsia" w:ascii="Calibri" w:hAnsi="Calibri" w:cs="Calibri"/>
                <w:color w:val="auto"/>
                <w:highlight w:val="none"/>
              </w:rPr>
              <w:t>资质；</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3.</w:t>
            </w:r>
            <w:r>
              <w:rPr>
                <w:rFonts w:hint="default" w:ascii="Calibri" w:hAnsi="Calibri" w:cs="Calibri"/>
                <w:color w:val="auto"/>
                <w:highlight w:val="none"/>
              </w:rPr>
              <w:t xml:space="preserve"> </w:t>
            </w:r>
            <w:r>
              <w:rPr>
                <w:rFonts w:hint="default"/>
                <w:color w:val="auto"/>
                <w:highlight w:val="none"/>
              </w:rPr>
              <w:t>拟任</w:t>
            </w:r>
            <w:r>
              <w:rPr>
                <w:rFonts w:hint="eastAsia"/>
                <w:color w:val="auto"/>
                <w:highlight w:val="none"/>
              </w:rPr>
              <w:t>工程总承包项目负责人</w:t>
            </w:r>
            <w:r>
              <w:rPr>
                <w:rFonts w:hint="default"/>
                <w:color w:val="auto"/>
                <w:highlight w:val="none"/>
              </w:rPr>
              <w:t>具备</w:t>
            </w:r>
            <w:r>
              <w:rPr>
                <w:rFonts w:hint="default"/>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keepNext w:val="0"/>
              <w:keepLines w:val="0"/>
              <w:suppressLineNumbers w:val="0"/>
              <w:spacing w:before="0" w:beforeAutospacing="0" w:after="0" w:afterAutospacing="0" w:line="360" w:lineRule="auto"/>
              <w:ind w:left="0" w:right="0" w:firstLine="0" w:firstLineChars="0"/>
              <w:rPr>
                <w:rFonts w:hint="eastAsia" w:ascii="Calibri" w:hAnsi="Calibri" w:cs="Calibri"/>
                <w:color w:val="auto"/>
                <w:highlight w:val="none"/>
                <w:lang w:eastAsia="zh-CN"/>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default" w:ascii="Calibri" w:hAnsi="Calibri" w:cs="Calibri"/>
                <w:color w:val="auto"/>
                <w:highlight w:val="none"/>
                <w:u w:val="none"/>
              </w:rPr>
              <w:t>专业</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执业</w:t>
            </w:r>
            <w:r>
              <w:rPr>
                <w:rFonts w:hint="default" w:ascii="Calibri" w:hAnsi="Calibri" w:cs="Calibri"/>
                <w:color w:val="auto"/>
                <w:highlight w:val="none"/>
              </w:rPr>
              <w:t>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lang w:eastAsia="zh-CN"/>
              </w:rPr>
            </w:pP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eastAsia" w:ascii="Calibri" w:hAnsi="Calibri" w:cs="Calibri"/>
                <w:color w:val="auto"/>
                <w:highlight w:val="none"/>
                <w:u w:val="single"/>
                <w:lang w:val="en-US" w:eastAsia="zh-CN"/>
              </w:rPr>
              <w:t xml:space="preserve">     </w:t>
            </w:r>
            <w:r>
              <w:rPr>
                <w:rFonts w:hint="eastAsia" w:ascii="Calibri" w:hAnsi="Calibri" w:cs="Calibri"/>
                <w:b w:val="0"/>
                <w:bCs w:val="0"/>
                <w:color w:val="auto"/>
                <w:highlight w:val="none"/>
                <w:lang w:val="en-US" w:eastAsia="zh-CN"/>
              </w:rPr>
              <w:t>专业</w:t>
            </w:r>
            <w:r>
              <w:rPr>
                <w:rFonts w:hint="eastAsia" w:ascii="Calibri" w:hAnsi="Calibri" w:cs="Calibri"/>
                <w:color w:val="auto"/>
                <w:highlight w:val="none"/>
                <w:u w:val="single"/>
                <w:lang w:val="en-US" w:eastAsia="zh-CN"/>
              </w:rPr>
              <w:t xml:space="preserve">       </w:t>
            </w:r>
            <w:r>
              <w:rPr>
                <w:rFonts w:hint="eastAsia" w:ascii="Calibri" w:hAnsi="Calibri" w:cs="Calibri"/>
                <w:color w:val="auto"/>
                <w:highlight w:val="none"/>
              </w:rPr>
              <w:t>职称</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适用于未实行执业资格）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leftChars="0" w:right="0" w:firstLine="0" w:firstLineChars="0"/>
              <w:jc w:val="left"/>
              <w:rPr>
                <w:rFonts w:hint="default" w:ascii="Calibri" w:hAnsi="Calibri" w:cs="Calibri"/>
                <w:color w:val="auto"/>
                <w:highlight w:val="none"/>
              </w:rPr>
            </w:pPr>
            <w:r>
              <w:rPr>
                <w:rFonts w:hint="eastAsia" w:ascii="Calibri" w:hAnsi="Calibri" w:cs="Calibri"/>
                <w:color w:val="auto"/>
                <w:highlight w:val="none"/>
                <w:lang w:val="en-US" w:eastAsia="zh-CN"/>
              </w:rPr>
              <w:t>5</w:t>
            </w:r>
            <w:r>
              <w:rPr>
                <w:rFonts w:hint="eastAsia" w:ascii="Calibri" w:hAnsi="Calibri" w:cs="Calibri"/>
                <w:color w:val="auto"/>
                <w:highlight w:val="none"/>
              </w:rPr>
              <w:t>. 拟任施工项目负责人</w:t>
            </w:r>
            <w:r>
              <w:rPr>
                <w:rFonts w:hint="default" w:ascii="Calibri" w:hAnsi="Calibri" w:cs="Calibri"/>
                <w:color w:val="auto"/>
                <w:highlight w:val="none"/>
              </w:rPr>
              <w:t>具备</w:t>
            </w:r>
            <w:r>
              <w:rPr>
                <w:rFonts w:hint="default" w:ascii="Calibri" w:hAnsi="Calibri" w:cs="Calibri"/>
                <w:color w:val="auto"/>
                <w:highlight w:val="none"/>
                <w:u w:val="single"/>
              </w:rPr>
              <w:t xml:space="preserve">         </w:t>
            </w:r>
            <w:r>
              <w:rPr>
                <w:rFonts w:hint="default" w:ascii="Calibri" w:hAnsi="Calibri" w:cs="Calibri"/>
                <w:color w:val="auto"/>
                <w:highlight w:val="none"/>
              </w:rPr>
              <w:t>专业</w:t>
            </w:r>
            <w:r>
              <w:rPr>
                <w:rFonts w:hint="default" w:ascii="Calibri" w:hAnsi="Calibri" w:cs="Calibri"/>
                <w:color w:val="auto"/>
                <w:highlight w:val="none"/>
                <w:u w:val="single"/>
              </w:rPr>
              <w:t xml:space="preserve">        </w:t>
            </w:r>
            <w:r>
              <w:rPr>
                <w:rFonts w:hint="default" w:ascii="Calibri" w:hAnsi="Calibri" w:cs="Calibri"/>
                <w:color w:val="auto"/>
                <w:highlight w:val="none"/>
              </w:rPr>
              <w:t>资格</w:t>
            </w:r>
            <w:r>
              <w:rPr>
                <w:rFonts w:hint="eastAsia" w:ascii="Calibri" w:hAnsi="Calibri" w:cs="Calibri"/>
                <w:color w:val="auto"/>
                <w:highlight w:val="none"/>
              </w:rPr>
              <w:t>，</w:t>
            </w:r>
            <w:r>
              <w:rPr>
                <w:rFonts w:hint="default" w:ascii="Calibri" w:hAnsi="Calibri" w:cs="Calibri"/>
                <w:color w:val="auto"/>
                <w:highlight w:val="none"/>
              </w:rPr>
              <w:t>具备项目负责人安全生产考核合格证书</w:t>
            </w:r>
            <w:r>
              <w:rPr>
                <w:rFonts w:hint="eastAsia" w:ascii="Calibri" w:hAnsi="Calibri" w:cs="Calibri"/>
                <w:color w:val="auto"/>
                <w:highlight w:val="none"/>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6</w:t>
            </w:r>
            <w:r>
              <w:rPr>
                <w:rFonts w:hint="default" w:ascii="Calibri" w:hAnsi="Calibri" w:cs="Calibri"/>
                <w:color w:val="auto"/>
                <w:highlight w:val="none"/>
              </w:rPr>
              <w:t xml:space="preserve"> </w:t>
            </w:r>
            <w:r>
              <w:rPr>
                <w:rFonts w:hint="eastAsia" w:ascii="Calibri" w:hAnsi="Calibri" w:cs="Calibri"/>
                <w:color w:val="auto"/>
                <w:highlight w:val="none"/>
              </w:rPr>
              <w:t>.</w:t>
            </w:r>
            <w:r>
              <w:rPr>
                <w:rFonts w:hint="default" w:ascii="Calibri" w:hAnsi="Calibri" w:cs="Calibri"/>
                <w:color w:val="auto"/>
                <w:highlight w:val="none"/>
              </w:rPr>
              <w:t>类似工程业绩要求</w:t>
            </w:r>
            <w:r>
              <w:rPr>
                <w:rFonts w:hint="eastAsia" w:ascii="Calibri" w:hAnsi="Calibri" w:cs="Calibri"/>
                <w:color w:val="auto"/>
                <w:highlight w:val="none"/>
              </w:rPr>
              <w:t>：具体要求</w:t>
            </w:r>
            <w:r>
              <w:rPr>
                <w:rFonts w:hint="default" w:ascii="Calibri" w:hAnsi="Calibri" w:cs="Calibri"/>
                <w:color w:val="auto"/>
                <w:highlight w:val="none"/>
              </w:rPr>
              <w:t>详见本表第</w:t>
            </w:r>
            <w:r>
              <w:rPr>
                <w:rFonts w:hint="eastAsia" w:ascii="Calibri" w:hAnsi="Calibri" w:cs="Calibri"/>
                <w:color w:val="auto"/>
                <w:highlight w:val="none"/>
              </w:rPr>
              <w:t>1</w:t>
            </w:r>
            <w:r>
              <w:rPr>
                <w:rFonts w:hint="default" w:ascii="Calibri" w:hAnsi="Calibri" w:cs="Calibri"/>
                <w:color w:val="auto"/>
                <w:highlight w:val="none"/>
              </w:rPr>
              <w:t>0.1</w:t>
            </w:r>
            <w:r>
              <w:rPr>
                <w:rFonts w:hint="eastAsia" w:ascii="Calibri" w:hAnsi="Calibri" w:cs="Calibri"/>
                <w:color w:val="auto"/>
                <w:highlight w:val="none"/>
              </w:rPr>
              <w:t>项；</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7.</w:t>
            </w:r>
            <w:r>
              <w:rPr>
                <w:rFonts w:hint="default" w:ascii="Calibri" w:hAnsi="Calibri" w:cs="Calibri"/>
                <w:color w:val="auto"/>
                <w:highlight w:val="none"/>
              </w:rPr>
              <w:t xml:space="preserve"> </w:t>
            </w:r>
            <w:r>
              <w:rPr>
                <w:rFonts w:hint="eastAsia" w:ascii="Calibri" w:hAnsi="Calibri" w:cs="Calibri"/>
                <w:color w:val="auto"/>
                <w:highlight w:val="none"/>
              </w:rPr>
              <w:t>本项目的项目建议书、可行性研究报告、初步设计文件编制单位及其评估单位：</w:t>
            </w:r>
          </w:p>
          <w:p>
            <w:pPr>
              <w:keepNext w:val="0"/>
              <w:keepLines w:val="0"/>
              <w:suppressLineNumbers w:val="0"/>
              <w:spacing w:before="0" w:beforeAutospacing="0" w:after="0" w:afterAutospacing="0" w:line="340" w:lineRule="exact"/>
              <w:ind w:left="0" w:right="0" w:firstLine="420" w:firstLineChars="200"/>
              <w:rPr>
                <w:rFonts w:hint="default" w:ascii="Calibri" w:hAnsi="Calibri" w:cs="Calibri"/>
                <w:color w:val="auto"/>
                <w:highlight w:val="none"/>
              </w:rPr>
            </w:pPr>
            <w:r>
              <w:rPr>
                <w:rFonts w:hint="eastAsia" w:ascii="Calibri" w:hAnsi="Calibri" w:cs="Calibri"/>
                <w:color w:val="auto"/>
                <w:highlight w:val="none"/>
              </w:rPr>
              <w:t>□不得参加投标</w:t>
            </w:r>
          </w:p>
          <w:p>
            <w:pPr>
              <w:keepNext w:val="0"/>
              <w:keepLines w:val="0"/>
              <w:suppressLineNumbers w:val="0"/>
              <w:spacing w:before="0" w:beforeAutospacing="0" w:after="0" w:afterAutospacing="0" w:line="340" w:lineRule="exact"/>
              <w:ind w:left="0" w:right="0" w:firstLine="420" w:firstLineChars="200"/>
              <w:rPr>
                <w:rFonts w:hint="eastAsia" w:ascii="Calibri" w:hAnsi="Calibri" w:cs="Calibri"/>
                <w:color w:val="auto"/>
                <w:highlight w:val="none"/>
              </w:rPr>
            </w:pPr>
            <w:r>
              <w:rPr>
                <w:rFonts w:hint="eastAsia" w:ascii="Calibri" w:hAnsi="Calibri" w:cs="Calibri"/>
                <w:color w:val="auto"/>
                <w:highlight w:val="none"/>
              </w:rPr>
              <w:t>□</w:t>
            </w:r>
            <w:r>
              <w:rPr>
                <w:rFonts w:hint="eastAsia" w:ascii="宋体" w:hAnsi="宋体" w:cs="Calibri"/>
                <w:color w:val="auto"/>
                <w:highlight w:val="none"/>
              </w:rPr>
              <w:t>允许参加投标</w:t>
            </w:r>
            <w:r>
              <w:rPr>
                <w:rFonts w:hint="eastAsia" w:ascii="Calibri" w:hAnsi="Calibri" w:cs="Calibri"/>
                <w:color w:val="auto"/>
                <w:highlight w:val="none"/>
              </w:rPr>
              <w:t>，且招标人在发布招标文件时应同步公开已经完成的项目建议书、</w:t>
            </w:r>
            <w:r>
              <w:rPr>
                <w:rFonts w:hint="eastAsia" w:ascii="Times New Roman" w:hAnsi="Times New Roman" w:eastAsia="宋体" w:cs="Times New Roman"/>
                <w:color w:val="auto"/>
                <w:highlight w:val="none"/>
              </w:rPr>
              <w:t>可行性研究报告、初步设计文件（设计图纸可编辑）；</w:t>
            </w:r>
          </w:p>
          <w:p>
            <w:pPr>
              <w:keepNext w:val="0"/>
              <w:keepLines w:val="0"/>
              <w:suppressLineNumbers w:val="0"/>
              <w:spacing w:before="0" w:beforeAutospacing="0" w:after="0" w:afterAutospacing="0"/>
              <w:ind w:left="0" w:right="0"/>
              <w:rPr>
                <w:rFonts w:hint="default" w:ascii="Calibri" w:hAnsi="Calibri" w:cs="Calibri"/>
                <w:color w:val="auto"/>
                <w:highlight w:val="none"/>
                <w:u w:val="single"/>
              </w:rPr>
            </w:pPr>
            <w:r>
              <w:rPr>
                <w:rFonts w:hint="eastAsia" w:ascii="Calibri" w:hAnsi="Calibri" w:cs="Calibri"/>
                <w:color w:val="auto"/>
                <w:highlight w:val="none"/>
              </w:rPr>
              <w:t>8.</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firstLine="105" w:firstLineChars="50"/>
              <w:jc w:val="center"/>
              <w:rPr>
                <w:rFonts w:hint="default" w:ascii="Calibri" w:hAnsi="Calibri" w:cs="Calibri"/>
                <w:color w:val="auto"/>
                <w:szCs w:val="21"/>
                <w:highlight w:val="none"/>
              </w:rPr>
            </w:pPr>
            <w:r>
              <w:rPr>
                <w:rFonts w:hint="default" w:ascii="Calibri" w:hAnsi="Calibri" w:cs="Calibri"/>
                <w:color w:val="auto"/>
                <w:szCs w:val="21"/>
                <w:highlight w:val="none"/>
              </w:rPr>
              <w:t>联合体</w:t>
            </w:r>
          </w:p>
          <w:p>
            <w:pPr>
              <w:keepNext w:val="0"/>
              <w:keepLines w:val="0"/>
              <w:suppressLineNumbers w:val="0"/>
              <w:spacing w:before="0" w:beforeAutospacing="0" w:after="0" w:afterAutospacing="0"/>
              <w:ind w:left="0" w:right="0" w:firstLine="105" w:firstLineChars="50"/>
              <w:jc w:val="center"/>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投标</w:t>
            </w:r>
            <w:r>
              <w:rPr>
                <w:rFonts w:hint="eastAsia" w:ascii="Calibri" w:hAnsi="Calibri" w:cs="Calibri"/>
                <w:color w:val="auto"/>
                <w:szCs w:val="21"/>
                <w:highlight w:val="none"/>
                <w:lang w:val="en-US" w:eastAsia="zh-CN"/>
              </w:rPr>
              <w:t>要求</w:t>
            </w:r>
          </w:p>
        </w:tc>
        <w:tc>
          <w:tcPr>
            <w:tcW w:w="6096"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lang w:val="en-US" w:eastAsia="zh-CN"/>
              </w:rPr>
              <w:t>联合体投标的</w:t>
            </w:r>
            <w:r>
              <w:rPr>
                <w:rFonts w:hint="default" w:ascii="Calibri" w:hAnsi="Calibri" w:cs="Calibri"/>
                <w:color w:val="auto"/>
                <w:szCs w:val="21"/>
                <w:highlight w:val="none"/>
              </w:rPr>
              <w:t>，应满足下列要求：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费用承担和设计成果补偿</w:t>
            </w:r>
          </w:p>
        </w:tc>
        <w:tc>
          <w:tcPr>
            <w:tcW w:w="6096" w:type="dxa"/>
            <w:noWrap w:val="0"/>
            <w:vAlign w:val="center"/>
          </w:tcPr>
          <w:p>
            <w:pPr>
              <w:keepNext w:val="0"/>
              <w:keepLines w:val="0"/>
              <w:suppressLineNumbers w:val="0"/>
              <w:spacing w:before="0" w:beforeAutospacing="0" w:after="0" w:afterAutospacing="0" w:line="240" w:lineRule="auto"/>
              <w:ind w:left="0" w:leftChars="0" w:right="0" w:firstLine="420" w:firstLineChars="200"/>
              <w:jc w:val="both"/>
              <w:rPr>
                <w:rFonts w:hint="default" w:ascii="宋体" w:hAnsi="宋体" w:cs="Calibri"/>
                <w:color w:val="auto"/>
                <w:szCs w:val="21"/>
                <w:highlight w:val="none"/>
              </w:rPr>
            </w:pPr>
            <w:r>
              <w:rPr>
                <w:rFonts w:hint="eastAsia" w:ascii="宋体" w:hAnsi="宋体" w:cs="Calibri"/>
                <w:color w:val="auto"/>
                <w:szCs w:val="21"/>
                <w:highlight w:val="none"/>
                <w:lang w:eastAsia="zh-CN"/>
              </w:rPr>
              <w:t>□</w:t>
            </w:r>
            <w:r>
              <w:rPr>
                <w:rFonts w:hint="eastAsia" w:ascii="宋体" w:hAnsi="宋体" w:cs="Calibri"/>
                <w:color w:val="auto"/>
                <w:szCs w:val="21"/>
                <w:highlight w:val="none"/>
                <w:lang w:val="en-US" w:eastAsia="zh-CN"/>
              </w:rPr>
              <w:t>不</w:t>
            </w:r>
            <w:r>
              <w:rPr>
                <w:rFonts w:hint="eastAsia" w:ascii="宋体" w:hAnsi="宋体" w:cs="Calibri"/>
                <w:color w:val="auto"/>
                <w:szCs w:val="21"/>
                <w:highlight w:val="none"/>
              </w:rPr>
              <w:t>补偿</w:t>
            </w:r>
          </w:p>
          <w:p>
            <w:pPr>
              <w:keepNext w:val="0"/>
              <w:keepLines w:val="0"/>
              <w:suppressLineNumbers w:val="0"/>
              <w:spacing w:before="0" w:beforeAutospacing="0" w:after="0" w:afterAutospacing="0"/>
              <w:ind w:left="0" w:leftChars="0" w:right="0" w:firstLine="420" w:firstLineChars="200"/>
              <w:rPr>
                <w:rFonts w:hint="eastAsia" w:ascii="宋体" w:hAnsi="宋体" w:cs="Calibri"/>
                <w:color w:val="auto"/>
                <w:szCs w:val="21"/>
                <w:highlight w:val="none"/>
              </w:rPr>
            </w:pPr>
            <w:r>
              <w:rPr>
                <w:rFonts w:hint="default" w:ascii="宋体" w:hAnsi="宋体" w:cs="Calibri"/>
                <w:color w:val="auto"/>
                <w:szCs w:val="21"/>
                <w:highlight w:val="none"/>
              </w:rPr>
              <w:t>□</w:t>
            </w:r>
            <w:r>
              <w:rPr>
                <w:rFonts w:hint="eastAsia" w:ascii="宋体" w:hAnsi="宋体" w:cs="Calibri"/>
                <w:color w:val="auto"/>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不组织</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0</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招标人规定由分包人承担的工作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1.10</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投标人拟</w:t>
            </w:r>
            <w:r>
              <w:rPr>
                <w:rFonts w:hint="default" w:ascii="Calibri" w:hAnsi="Calibri" w:cs="Calibri"/>
                <w:color w:val="auto"/>
                <w:szCs w:val="21"/>
                <w:highlight w:val="none"/>
              </w:rPr>
              <w:t>分包</w:t>
            </w:r>
            <w:r>
              <w:rPr>
                <w:rFonts w:hint="eastAsia" w:ascii="Calibri" w:hAnsi="Calibri" w:cs="Calibri"/>
                <w:color w:val="auto"/>
                <w:szCs w:val="21"/>
                <w:highlight w:val="none"/>
              </w:rPr>
              <w:t>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允许，分包内容要求：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分包金额要求：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电子招标投标</w:t>
            </w:r>
            <w:r>
              <w:rPr>
                <w:rFonts w:hint="default"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highlight w:val="none"/>
                <w:u w:val="single"/>
              </w:rPr>
              <w:t>发布</w:t>
            </w:r>
            <w:r>
              <w:rPr>
                <w:rFonts w:hint="eastAsia" w:ascii="Calibri" w:hAnsi="Calibri" w:cs="Calibri"/>
                <w:color w:val="auto"/>
                <w:highlight w:val="none"/>
                <w:u w:val="single"/>
              </w:rPr>
              <w:t>澄清和修改</w:t>
            </w:r>
            <w:r>
              <w:rPr>
                <w:rFonts w:hint="default" w:ascii="Calibri" w:hAnsi="Calibri" w:cs="Calibri"/>
                <w:color w:val="auto"/>
                <w:highlight w:val="none"/>
                <w:u w:val="single"/>
              </w:rPr>
              <w:t>的媒介名称</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最高投标限价和其计算方法及编制依据</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投标报价的其他要求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bookmarkStart w:id="75" w:name="EBa124deb9e47744abb63d01402adbb963"/>
            <w:r>
              <w:rPr>
                <w:rFonts w:hint="default" w:ascii="Times New Roman" w:hAnsi="Times New Roman" w:eastAsia="宋体" w:cs="Times New Roman"/>
                <w:color w:val="auto"/>
                <w:szCs w:val="21"/>
                <w:highlight w:val="none"/>
              </w:rPr>
              <w:t>□</w:t>
            </w:r>
            <w:bookmarkEnd w:id="75"/>
            <w:r>
              <w:rPr>
                <w:rFonts w:hint="default" w:ascii="Times New Roman" w:hAnsi="Times New Roman" w:eastAsia="宋体" w:cs="Times New Roman"/>
                <w:color w:val="auto"/>
                <w:szCs w:val="21"/>
                <w:highlight w:val="none"/>
              </w:rPr>
              <w:t>接受承诺，适用于所有投标人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元（￥_______元）。</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户    名：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开户银行：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账    号：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w:t>
            </w:r>
            <w:r>
              <w:rPr>
                <w:rFonts w:hint="eastAsia" w:cs="Times New Roman"/>
                <w:color w:val="auto"/>
                <w:szCs w:val="21"/>
                <w:highlight w:val="none"/>
                <w:lang w:val="en-US" w:eastAsia="zh-CN"/>
              </w:rPr>
              <w:t>及附录</w:t>
            </w:r>
            <w:r>
              <w:rPr>
                <w:rFonts w:hint="default" w:ascii="Times New Roman" w:hAnsi="Times New Roman" w:eastAsia="宋体" w:cs="Times New Roman"/>
                <w:color w:val="auto"/>
                <w:szCs w:val="21"/>
                <w:highlight w:val="none"/>
              </w:rPr>
              <w:t>格式”规定。</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 本项目投标保证金已委托</w:t>
            </w:r>
            <w:r>
              <w:rPr>
                <w:rFonts w:hint="default" w:ascii="Times New Roman" w:hAnsi="Times New Roman" w:eastAsia="宋体" w:cs="Times New Roman"/>
                <w:color w:val="auto"/>
                <w:szCs w:val="21"/>
                <w:highlight w:val="none"/>
                <w:lang w:val="en-US" w:eastAsia="zh-CN"/>
              </w:rPr>
              <w:t xml:space="preserve">          （交易中心名称）</w:t>
            </w:r>
            <w:r>
              <w:rPr>
                <w:rFonts w:hint="default" w:ascii="Times New Roman" w:hAnsi="Times New Roman" w:eastAsia="宋体" w:cs="Times New Roman"/>
                <w:color w:val="auto"/>
                <w:szCs w:val="21"/>
                <w:highlight w:val="none"/>
              </w:rPr>
              <w:t>进行收退、保密、保管。</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eastAsia" w:ascii="Calibri" w:hAnsi="Calibri" w:cs="Calibri"/>
                <w:color w:val="auto"/>
                <w:szCs w:val="21"/>
                <w:highlight w:val="none"/>
              </w:rPr>
              <w:t>技术方案</w:t>
            </w:r>
            <w:r>
              <w:rPr>
                <w:rFonts w:hint="default" w:ascii="Calibri" w:hAnsi="Calibri" w:cs="Calibri"/>
                <w:bCs/>
                <w:color w:val="auto"/>
                <w:szCs w:val="21"/>
                <w:highlight w:val="none"/>
              </w:rPr>
              <w:t>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招标文件第七章第三节“技术方案格式（暗标）”的规定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电子招标投标交易平台名称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 xml:space="preserve">电子招标投标交易平台名称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构成：</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（1）票决法：</w:t>
            </w:r>
            <w:r>
              <w:rPr>
                <w:rFonts w:hint="eastAsia" w:ascii="Calibri" w:hAnsi="Calibri" w:cs="Calibri"/>
                <w:color w:val="auto"/>
                <w:szCs w:val="21"/>
                <w:highlight w:val="none"/>
                <w:lang w:val="en-US" w:eastAsia="zh-CN"/>
              </w:rPr>
              <w:t>投票决定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（2）报价竞争法：</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（3）因素法：</w:t>
            </w:r>
            <w:r>
              <w:rPr>
                <w:rFonts w:hint="eastAsia" w:ascii="宋体" w:hAnsi="宋体" w:cs="仿宋_GB2312"/>
                <w:color w:val="auto"/>
                <w:szCs w:val="21"/>
                <w:highlight w:val="none"/>
              </w:rPr>
              <w:t>□</w:t>
            </w:r>
            <w:r>
              <w:rPr>
                <w:rFonts w:hint="eastAsia" w:ascii="Calibri" w:hAnsi="Calibri" w:cs="Calibri"/>
                <w:color w:val="auto"/>
                <w:szCs w:val="21"/>
                <w:highlight w:val="none"/>
              </w:rPr>
              <w:t>技术方案和企业资信及履约能力两</w:t>
            </w:r>
            <w:r>
              <w:rPr>
                <w:rFonts w:hint="eastAsia" w:ascii="宋体" w:hAnsi="宋体" w:cs="宋体"/>
                <w:color w:val="auto"/>
                <w:szCs w:val="21"/>
                <w:highlight w:val="none"/>
              </w:rPr>
              <w:t>项</w:t>
            </w:r>
            <w:r>
              <w:rPr>
                <w:rFonts w:hint="eastAsia" w:ascii="Calibri" w:hAnsi="Calibri" w:cs="Calibri"/>
                <w:color w:val="auto"/>
                <w:kern w:val="0"/>
                <w:szCs w:val="32"/>
                <w:highlight w:val="none"/>
              </w:rPr>
              <w:t>得分乘以相应权重之和</w:t>
            </w:r>
            <w:r>
              <w:rPr>
                <w:rFonts w:hint="eastAsia" w:ascii="宋体" w:hAnsi="宋体" w:cs="宋体"/>
                <w:color w:val="auto"/>
                <w:szCs w:val="21"/>
                <w:highlight w:val="none"/>
              </w:rPr>
              <w:t>由高至低排序确定；</w:t>
            </w:r>
            <w:r>
              <w:rPr>
                <w:rFonts w:hint="eastAsia" w:ascii="宋体" w:hAnsi="宋体" w:cs="仿宋_GB2312"/>
                <w:color w:val="auto"/>
                <w:szCs w:val="21"/>
                <w:highlight w:val="none"/>
              </w:rPr>
              <w:t>□</w:t>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1.保函形式：银行业金融机构保函</w:t>
            </w:r>
            <w:r>
              <w:rPr>
                <w:rFonts w:hint="eastAsia" w:ascii="Calibri" w:hAnsi="Calibri" w:cs="Calibri"/>
                <w:color w:val="auto"/>
                <w:szCs w:val="21"/>
                <w:highlight w:val="none"/>
              </w:rPr>
              <w:t>、担保公司担保（</w:t>
            </w:r>
            <w:r>
              <w:rPr>
                <w:rFonts w:hint="eastAsia" w:ascii="宋体" w:hAnsi="宋体" w:cs="Calibri"/>
                <w:color w:val="auto"/>
                <w:szCs w:val="21"/>
                <w:highlight w:val="none"/>
              </w:rPr>
              <w:t>□</w:t>
            </w:r>
            <w:r>
              <w:rPr>
                <w:rFonts w:hint="default" w:ascii="Calibri" w:hAnsi="Calibri" w:cs="Calibri"/>
                <w:color w:val="auto"/>
                <w:szCs w:val="21"/>
                <w:highlight w:val="none"/>
              </w:rPr>
              <w:t xml:space="preserve">融资性担保公司保函  </w:t>
            </w:r>
            <w:r>
              <w:rPr>
                <w:rFonts w:hint="eastAsia" w:ascii="宋体" w:hAnsi="宋体" w:cs="Calibri"/>
                <w:color w:val="auto"/>
                <w:szCs w:val="21"/>
                <w:highlight w:val="none"/>
              </w:rPr>
              <w:t>□</w:t>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10.1</w:t>
            </w:r>
          </w:p>
        </w:tc>
        <w:tc>
          <w:tcPr>
            <w:tcW w:w="1770"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val="0"/>
                <w:color w:val="auto"/>
                <w:kern w:val="2"/>
                <w:szCs w:val="21"/>
                <w:highlight w:val="none"/>
              </w:rPr>
              <w:t>BIM技术应用</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eastAsia" w:ascii="宋体" w:hAnsi="宋体" w:cs="Calibri"/>
                <w:color w:val="auto"/>
                <w:szCs w:val="21"/>
                <w:highlight w:val="none"/>
              </w:rPr>
              <w:sym w:font="Wingdings 2" w:char="00A3"/>
            </w:r>
            <w:r>
              <w:rPr>
                <w:rFonts w:hint="default" w:ascii="Times New Roman" w:hAnsi="Times New Roman" w:eastAsia="宋体" w:cs="Times New Roman"/>
                <w:bCs w:val="0"/>
                <w:color w:val="auto"/>
                <w:kern w:val="2"/>
                <w:szCs w:val="21"/>
                <w:highlight w:val="none"/>
              </w:rPr>
              <w:t>项目实施过程中采用BIM技术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1.资格要求的类似工程业绩：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szCs w:val="21"/>
                <w:highlight w:val="none"/>
              </w:rPr>
              <w:t>（1）</w:t>
            </w:r>
            <w:r>
              <w:rPr>
                <w:rFonts w:hint="eastAsia" w:ascii="宋体" w:hAnsi="宋体" w:cs="Calibri"/>
                <w:color w:val="auto"/>
                <w:szCs w:val="21"/>
                <w:highlight w:val="none"/>
              </w:rPr>
              <w:sym w:font="Wingdings 2" w:char="00A3"/>
            </w:r>
            <w:r>
              <w:rPr>
                <w:rFonts w:hint="default" w:ascii="Calibri" w:hAnsi="Calibri" w:cs="Calibri"/>
                <w:color w:val="auto"/>
                <w:highlight w:val="none"/>
              </w:rPr>
              <w:t>不要求</w:t>
            </w:r>
          </w:p>
          <w:p>
            <w:pPr>
              <w:keepNext w:val="0"/>
              <w:keepLines w:val="0"/>
              <w:suppressLineNumbers w:val="0"/>
              <w:spacing w:before="0" w:beforeAutospacing="0" w:after="0" w:afterAutospacing="0"/>
              <w:ind w:left="0" w:right="0" w:firstLine="525" w:firstLineChars="250"/>
              <w:rPr>
                <w:rFonts w:hint="eastAsia" w:ascii="Calibri" w:hAnsi="Calibri" w:cs="Calibri"/>
                <w:color w:val="auto"/>
                <w:highlight w:val="none"/>
              </w:rPr>
            </w:pPr>
            <w:r>
              <w:rPr>
                <w:rFonts w:hint="eastAsia" w:ascii="宋体" w:hAnsi="宋体" w:cs="Calibri"/>
                <w:color w:val="auto"/>
                <w:szCs w:val="21"/>
                <w:highlight w:val="none"/>
              </w:rPr>
              <w:t>□</w:t>
            </w:r>
            <w:r>
              <w:rPr>
                <w:rFonts w:hint="default" w:ascii="Calibri" w:hAnsi="Calibri" w:cs="Calibri"/>
                <w:color w:val="auto"/>
                <w:highlight w:val="none"/>
              </w:rPr>
              <w:t>要求</w:t>
            </w:r>
            <w:r>
              <w:rPr>
                <w:rFonts w:hint="eastAsia" w:ascii="Calibri" w:hAnsi="Calibri" w:cs="Calibri"/>
                <w:color w:val="auto"/>
                <w:highlight w:val="none"/>
              </w:rPr>
              <w:t>，企业承担过1项类似工程；</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（2）</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的施工或者设计或者工程总承包项目；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2.企业资信及履约能力评审的类似工程业绩：</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（1）独立投标人（设计资质）或联合体中设计单位类似工程业绩：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w:t>
            </w:r>
            <w:r>
              <w:rPr>
                <w:rFonts w:hint="eastAsia" w:ascii="Calibri" w:hAnsi="Calibri" w:cs="Calibri"/>
                <w:color w:val="auto"/>
                <w:highlight w:val="none"/>
                <w:lang w:val="en-US" w:eastAsia="zh-CN"/>
              </w:rPr>
              <w:t>合</w:t>
            </w:r>
            <w:r>
              <w:rPr>
                <w:rFonts w:hint="default" w:ascii="Calibri" w:hAnsi="Calibri" w:cs="Calibri"/>
                <w:color w:val="auto"/>
                <w:highlight w:val="none"/>
              </w:rPr>
              <w:t>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宋体" w:hAnsi="宋体"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lang w:eastAsia="zh-CN"/>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的设计或者工程总承包项目；</w:t>
            </w:r>
          </w:p>
          <w:p>
            <w:pPr>
              <w:keepNext w:val="0"/>
              <w:keepLines w:val="0"/>
              <w:suppressLineNumbers w:val="0"/>
              <w:spacing w:before="0" w:beforeAutospacing="0" w:after="0" w:afterAutospacing="0"/>
              <w:ind w:left="0" w:right="0"/>
              <w:rPr>
                <w:rFonts w:hint="default" w:ascii="宋体" w:hAnsi="宋体"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w:t>
            </w:r>
            <w:r>
              <w:rPr>
                <w:rFonts w:hint="default" w:ascii="Calibri" w:hAnsi="Calibri" w:cs="Calibri"/>
                <w:color w:val="auto"/>
                <w:highlight w:val="none"/>
              </w:rPr>
              <w:t>2</w:t>
            </w:r>
            <w:r>
              <w:rPr>
                <w:rFonts w:hint="eastAsia" w:ascii="Calibri" w:hAnsi="Calibri" w:cs="Calibri"/>
                <w:color w:val="auto"/>
                <w:highlight w:val="none"/>
              </w:rPr>
              <w:t>）独立投标人（施工资质）或联合体中施工单位类似工程业绩：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的施工或者工程总承包项目</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（适用于设计或者施工或者工程总承包相关指标要求不一致的特殊项目）；</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由招标人根据招标项目的特点和实际需要提出要求，并符合以下规定：投标</w:t>
            </w:r>
            <w:r>
              <w:rPr>
                <w:rFonts w:hint="default" w:ascii="Calibri" w:hAnsi="Calibri" w:cs="Calibri"/>
                <w:color w:val="auto"/>
                <w:highlight w:val="none"/>
              </w:rPr>
              <w:t>人资格要求的类似工程业绩原则上</w:t>
            </w:r>
            <w:r>
              <w:rPr>
                <w:rFonts w:hint="eastAsia" w:ascii="Calibri" w:hAnsi="Calibri" w:cs="Calibri"/>
                <w:color w:val="auto"/>
                <w:highlight w:val="none"/>
              </w:rPr>
              <w:t>为</w:t>
            </w:r>
            <w:r>
              <w:rPr>
                <w:rFonts w:hint="default" w:ascii="Calibri" w:hAnsi="Calibri" w:cs="Calibri"/>
                <w:color w:val="auto"/>
                <w:highlight w:val="none"/>
              </w:rPr>
              <w:t>不超过招标项目相关指标的50%［四舍五入取整数，下同</w:t>
            </w:r>
            <w:r>
              <w:rPr>
                <w:rFonts w:hint="eastAsia" w:ascii="Calibri" w:hAnsi="Calibri" w:cs="Calibri"/>
                <w:color w:val="auto"/>
                <w:highlight w:val="none"/>
              </w:rPr>
              <w:t>］，用于企业资信及履约能力评审加分的类似工程业绩原则上为招标项目相关指标的70%。</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其中：</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房屋建筑工程，</w:t>
            </w:r>
            <w:r>
              <w:rPr>
                <w:rFonts w:hint="eastAsia" w:ascii="Calibri" w:hAnsi="Calibri" w:cs="Calibri"/>
                <w:color w:val="auto"/>
                <w:highlight w:val="none"/>
              </w:rPr>
              <w:t>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 xml:space="preserve"> 1-2项。</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市政基础设施工程，</w:t>
            </w:r>
            <w:r>
              <w:rPr>
                <w:rFonts w:hint="eastAsia" w:ascii="Calibri" w:hAnsi="Calibri" w:cs="Calibri"/>
                <w:color w:val="auto"/>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rFonts w:hint="default" w:ascii="Calibri" w:hAnsi="Calibri" w:cs="Calibri"/>
                <w:color w:val="auto"/>
                <w:highlight w:val="none"/>
              </w:rPr>
              <w:t>等指标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1-2 项</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3.类似工程业绩的考核要求：</w:t>
            </w:r>
          </w:p>
          <w:p>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设计人或承包人的项目网页截图。</w:t>
            </w:r>
          </w:p>
          <w:p>
            <w:pPr>
              <w:keepNext w:val="0"/>
              <w:keepLines w:val="0"/>
              <w:suppressLineNumbers w:val="0"/>
              <w:snapToGrid/>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（2）考核期限： </w:t>
            </w:r>
            <w:r>
              <w:rPr>
                <w:rFonts w:hint="eastAsia" w:ascii="Times New Roman" w:hAnsi="Times New Roman" w:eastAsia="宋体" w:cs="Times New Roman"/>
                <w:color w:val="auto"/>
                <w:highlight w:val="none"/>
                <w:lang w:val="en-US" w:eastAsia="zh-CN"/>
              </w:rPr>
              <w:t>投标截止时间之日前3年</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pacing w:before="0" w:beforeAutospacing="0" w:after="0" w:afterAutospacing="0"/>
              <w:ind w:left="0" w:right="0"/>
              <w:rPr>
                <w:rFonts w:hint="eastAsia" w:ascii="Calibri" w:hAnsi="Calibri" w:cs="Calibri"/>
                <w:strike/>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w:t>
            </w:r>
            <w:r>
              <w:rPr>
                <w:rFonts w:hint="eastAsia" w:ascii="Times New Roman" w:hAnsi="Times New Roman" w:eastAsia="宋体" w:cs="Times New Roman"/>
                <w:color w:val="auto"/>
                <w:highlight w:val="none"/>
                <w:lang w:val="en-US" w:eastAsia="zh-CN"/>
              </w:rPr>
              <w:t>计</w:t>
            </w:r>
            <w:r>
              <w:rPr>
                <w:rFonts w:hint="eastAsia" w:ascii="Times New Roman" w:hAnsi="Times New Roman" w:eastAsia="宋体"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企业资信及履约能力评审的优良信息</w:t>
            </w:r>
          </w:p>
        </w:tc>
        <w:tc>
          <w:tcPr>
            <w:tcW w:w="6096"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ascii="Times New Roman" w:hAnsi="Times New Roman" w:eastAsia="宋体" w:cs="Times New Roman"/>
                <w:color w:val="auto"/>
                <w:highlight w:val="none"/>
              </w:rPr>
              <w:t xml:space="preserve"> 独立</w:t>
            </w:r>
            <w:r>
              <w:rPr>
                <w:rFonts w:hint="eastAsia" w:ascii="Times New Roman" w:hAnsi="Times New Roman" w:eastAsia="宋体" w:cs="Times New Roman"/>
                <w:color w:val="auto"/>
                <w:szCs w:val="24"/>
                <w:highlight w:val="none"/>
              </w:rPr>
              <w:t>投标人（设计资质）或联合体中设计单位的奖项加分个数：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（1）国家级设计奖项</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Cs w:val="24"/>
                <w:highlight w:val="none"/>
              </w:rPr>
              <w:t>：</w:t>
            </w:r>
          </w:p>
          <w:p>
            <w:pPr>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numPr>
                <w:ilvl w:val="0"/>
                <w:numId w:val="10"/>
              </w:numPr>
              <w:suppressLineNumbers w:val="0"/>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省级设计奖项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szCs w:val="24"/>
                <w:highlight w:val="none"/>
              </w:rPr>
              <w:t xml:space="preserve"> 独立投标人（施工资质）或联合体中施工单位的奖项加分个数：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（1）国家级施工奖项（鲁班奖、国家优质工程奖）：</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（2）省级施工</w:t>
            </w:r>
            <w:r>
              <w:rPr>
                <w:rFonts w:hint="eastAsia" w:ascii="Times New Roman" w:hAnsi="Times New Roman" w:eastAsia="宋体" w:cs="Times New Roman"/>
                <w:color w:val="auto"/>
                <w:szCs w:val="24"/>
                <w:highlight w:val="none"/>
              </w:rPr>
              <w:t>奖项（省级综合工程质量奖、省级优质工程奖）：</w:t>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3.独立</w:t>
            </w:r>
            <w:r>
              <w:rPr>
                <w:rFonts w:hint="eastAsia" w:ascii="Times New Roman" w:hAnsi="Times New Roman" w:eastAsia="宋体" w:cs="Times New Roman"/>
                <w:color w:val="auto"/>
                <w:szCs w:val="24"/>
                <w:highlight w:val="none"/>
              </w:rPr>
              <w:t>投标人（施工资质）或联合体中施工单位的标准化工地加分个数：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国家建设工程项目施工工地安全生产标准化学习交流项目</w:t>
            </w:r>
            <w:r>
              <w:rPr>
                <w:rFonts w:hint="eastAsia" w:ascii="Times New Roman" w:hAnsi="Times New Roman" w:eastAsia="宋体" w:cs="Times New Roman"/>
                <w:color w:val="auto"/>
                <w:highlight w:val="none"/>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省级建筑施工安全生产标准化年度项目考评优良工地</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u w:val="none"/>
              </w:rPr>
              <w:t xml:space="preserve"> </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个（规定区间0-20个）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4.园林绿化工程招标时施工优良信息加分规定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独立</w:t>
            </w:r>
            <w:r>
              <w:rPr>
                <w:rFonts w:hint="eastAsia" w:ascii="Times New Roman" w:hAnsi="Times New Roman" w:eastAsia="宋体" w:cs="Times New Roman"/>
                <w:color w:val="auto"/>
                <w:szCs w:val="24"/>
                <w:highlight w:val="none"/>
              </w:rPr>
              <w:t>投标人（施工资质）或联合体中施工单位的奖项加分个数：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中国人居环境范例奖（园林绿化获奖项目）：</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Cs w:val="21"/>
                <w:highlight w:val="none"/>
              </w:rPr>
              <w:t>省级园林绿化优质工程</w:t>
            </w:r>
            <w:r>
              <w:rPr>
                <w:rFonts w:hint="eastAsia" w:ascii="Times New Roman" w:hAnsi="Times New Roman" w:eastAsia="宋体" w:cs="Times New Roman"/>
                <w:color w:val="auto"/>
                <w:highlight w:val="none"/>
              </w:rPr>
              <w:t>奖：</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（3）标准化工地均不加分。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5.</w:t>
            </w:r>
            <w:r>
              <w:rPr>
                <w:rFonts w:hint="eastAsia" w:ascii="Times New Roman" w:hAnsi="Times New Roman" w:eastAsia="宋体" w:cs="Times New Roman"/>
                <w:color w:val="auto"/>
                <w:szCs w:val="24"/>
                <w:highlight w:val="none"/>
                <w:lang w:val="en-US" w:eastAsia="zh-CN"/>
              </w:rPr>
              <w:t>绿色科技创新指标：</w:t>
            </w: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w:t>
            </w:r>
            <w:r>
              <w:rPr>
                <w:rFonts w:hint="eastAsia" w:cs="Times New Roman"/>
                <w:color w:val="auto"/>
                <w:highlight w:val="none"/>
                <w:lang w:val="en-US" w:eastAsia="zh-CN"/>
              </w:rPr>
              <w:t>分</w:t>
            </w:r>
            <w:r>
              <w:rPr>
                <w:rFonts w:hint="eastAsia" w:ascii="Times New Roman" w:hAnsi="Times New Roman" w:eastAsia="宋体" w:cs="Times New Roman"/>
                <w:color w:val="auto"/>
                <w:highlight w:val="none"/>
              </w:rPr>
              <w:t xml:space="preserve">  □1</w:t>
            </w:r>
            <w:r>
              <w:rPr>
                <w:rFonts w:hint="eastAsia" w:cs="Times New Roman"/>
                <w:color w:val="auto"/>
                <w:highlight w:val="none"/>
                <w:lang w:val="en-US" w:eastAsia="zh-CN"/>
              </w:rPr>
              <w:t>分</w:t>
            </w:r>
            <w:r>
              <w:rPr>
                <w:rFonts w:hint="eastAsia" w:ascii="Times New Roman" w:hAnsi="Times New Roman" w:eastAsia="宋体" w:cs="Times New Roman"/>
                <w:color w:val="auto"/>
                <w:highlight w:val="none"/>
              </w:rPr>
              <w:t xml:space="preserve">  □2</w:t>
            </w:r>
            <w:r>
              <w:rPr>
                <w:rFonts w:hint="eastAsia" w:cs="Times New Roman"/>
                <w:color w:val="auto"/>
                <w:highlight w:val="none"/>
                <w:lang w:val="en-US" w:eastAsia="zh-CN"/>
              </w:rPr>
              <w:t>分</w:t>
            </w:r>
            <w:bookmarkStart w:id="283" w:name="_GoBack"/>
            <w:bookmarkEnd w:id="283"/>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Cs w:val="24"/>
                <w:highlight w:val="none"/>
              </w:rPr>
              <w:t>AA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u w:val="none"/>
              </w:rPr>
            </w:pPr>
            <w:r>
              <w:rPr>
                <w:rFonts w:hint="eastAsia" w:ascii="Times New Roman" w:hAnsi="Times New Roman" w:eastAsia="宋体" w:cs="Times New Roman"/>
                <w:color w:val="auto"/>
                <w:szCs w:val="24"/>
                <w:highlight w:val="none"/>
                <w:lang w:val="en-US" w:eastAsia="zh-CN"/>
              </w:rPr>
              <w:t>6.</w:t>
            </w:r>
            <w:r>
              <w:rPr>
                <w:rFonts w:hint="eastAsia" w:ascii="Times New Roman" w:hAnsi="Times New Roman" w:eastAsia="宋体" w:cs="Times New Roman"/>
                <w:color w:val="auto"/>
                <w:szCs w:val="24"/>
                <w:highlight w:val="none"/>
              </w:rPr>
              <w:t>其他</w:t>
            </w:r>
            <w:r>
              <w:rPr>
                <w:rFonts w:hint="eastAsia" w:ascii="Times New Roman" w:hAnsi="Times New Roman" w:eastAsia="宋体" w:cs="Times New Roman"/>
                <w:color w:val="auto"/>
                <w:szCs w:val="24"/>
                <w:highlight w:val="none"/>
                <w:u w:val="none"/>
              </w:rPr>
              <w:t xml:space="preserve">         </w:t>
            </w:r>
          </w:p>
          <w:p>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4"/>
                <w:highlight w:val="none"/>
                <w:u w:val="single"/>
                <w:lang w:val="en-US" w:eastAsia="zh-CN"/>
              </w:rPr>
              <w:t xml:space="preserve">           </w:t>
            </w:r>
            <w:r>
              <w:rPr>
                <w:rFonts w:hint="eastAsia" w:ascii="Times New Roman" w:hAnsi="Times New Roman" w:eastAsia="宋体" w:cs="Times New Roman"/>
                <w:color w:val="auto"/>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shd w:val="pct10" w:color="auto" w:fill="FFFFFF"/>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845" w:type="dxa"/>
            <w:vMerge w:val="restart"/>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Calibri" w:hAnsi="Calibri" w:cs="Calibri"/>
                <w:color w:val="auto"/>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以联合体投标，其中设计单位有两家（含两家）以上的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u w:val="singl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招标项目存在不同类型工程内容的,招标人应根据项目实际情况在招标文件中明确主要类型（专业）,奖项、加分业绩、信用评价得分为联合体主要类型(专业)单位的得分。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p>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的设计企业有两家以上的,奖项、加分业绩、信用评价得分分别为该类型(专业)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845" w:type="dxa"/>
            <w:vMerge w:val="continue"/>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以联合体投标的，其中施工单位有两家（含两家）以上的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r>
              <w:rPr>
                <w:rFonts w:hint="eastAsia" w:ascii="Times New Roman" w:hAnsi="Times New Roman" w:eastAsia="宋体" w:cs="Times New Roman"/>
                <w:color w:val="auto"/>
                <w:sz w:val="21"/>
                <w:highlight w:val="none"/>
                <w:lang w:val="en-US" w:eastAsia="zh-CN"/>
              </w:rPr>
              <w:t xml:space="preserve">     </w:t>
            </w:r>
          </w:p>
          <w:p>
            <w:pPr>
              <w:keepNext w:val="0"/>
              <w:keepLines w:val="0"/>
              <w:suppressLineNumbers w:val="0"/>
              <w:spacing w:before="0" w:beforeAutospacing="0" w:after="0" w:afterAutospacing="0"/>
              <w:ind w:left="-103" w:leftChars="-49" w:right="0" w:firstLine="422" w:firstLineChars="201"/>
              <w:jc w:val="left"/>
              <w:rPr>
                <w:rFonts w:hint="default" w:ascii="Calibri" w:hAnsi="Calibri" w:cs="Calibri"/>
                <w:color w:val="auto"/>
                <w:kern w:val="0"/>
                <w:sz w:val="18"/>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r>
              <w:rPr>
                <w:rFonts w:hint="eastAsia" w:ascii="Times New Roman" w:hAnsi="Times New Roman" w:eastAsia="宋体" w:cs="Times New Roman"/>
                <w:color w:val="auto"/>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strike/>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w:t>
            </w:r>
            <w:r>
              <w:rPr>
                <w:rFonts w:hint="eastAsia" w:ascii="Calibri" w:hAnsi="Calibri" w:cs="Calibri"/>
                <w:bCs/>
                <w:color w:val="auto"/>
                <w:szCs w:val="21"/>
                <w:highlight w:val="none"/>
                <w:u w:val="none"/>
              </w:rPr>
              <w:t>对</w:t>
            </w:r>
            <w:r>
              <w:rPr>
                <w:rFonts w:hint="eastAsia" w:ascii="Times New Roman" w:hAnsi="Times New Roman" w:eastAsia="宋体" w:cs="Times New Roman"/>
                <w:bCs/>
                <w:color w:val="auto"/>
                <w:szCs w:val="21"/>
                <w:highlight w:val="none"/>
                <w:u w:val="none"/>
                <w:lang w:val="en-US" w:eastAsia="zh-CN"/>
              </w:rPr>
              <w:t>所有合格投标人</w:t>
            </w:r>
            <w:r>
              <w:rPr>
                <w:rFonts w:hint="eastAsia" w:ascii="Calibri" w:hAnsi="Calibri" w:cs="Calibri"/>
                <w:bCs/>
                <w:color w:val="auto"/>
                <w:szCs w:val="21"/>
                <w:highlight w:val="none"/>
                <w:u w:val="none"/>
              </w:rPr>
              <w:t>进</w:t>
            </w:r>
            <w:r>
              <w:rPr>
                <w:rFonts w:hint="eastAsia" w:ascii="Calibri" w:hAnsi="Calibri" w:cs="Calibri"/>
                <w:bCs/>
                <w:color w:val="auto"/>
                <w:szCs w:val="21"/>
                <w:highlight w:val="none"/>
                <w:u w:val="none"/>
                <w:lang w:val="en-US" w:eastAsia="zh-CN"/>
              </w:rPr>
              <w:t>行投标报价评审</w:t>
            </w:r>
            <w:r>
              <w:rPr>
                <w:rFonts w:hint="eastAsia" w:ascii="Calibri" w:hAnsi="Calibri" w:cs="Calibri"/>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□按照</w:t>
            </w:r>
            <w:r>
              <w:rPr>
                <w:rFonts w:hint="eastAsia" w:ascii="Calibri" w:hAnsi="Calibri" w:cs="Calibri"/>
                <w:color w:val="auto"/>
                <w:kern w:val="0"/>
                <w:szCs w:val="32"/>
                <w:highlight w:val="none"/>
              </w:rPr>
              <w:t>企业资信及履约能力评审得分与技术方案评审得分乘以相应权重之和</w:t>
            </w:r>
            <w:r>
              <w:rPr>
                <w:rFonts w:hint="eastAsia" w:ascii="Calibri" w:hAnsi="Calibri" w:cs="Calibri"/>
                <w:bCs/>
                <w:color w:val="auto"/>
                <w:szCs w:val="21"/>
                <w:highlight w:val="none"/>
              </w:rPr>
              <w:t>由高至低的顺序确定</w:t>
            </w:r>
            <w:r>
              <w:rPr>
                <w:rFonts w:hint="eastAsia" w:ascii="Calibri" w:hAnsi="Calibri" w:cs="Calibri"/>
                <w:bCs/>
                <w:color w:val="auto"/>
                <w:szCs w:val="21"/>
                <w:highlight w:val="none"/>
                <w:lang w:val="en-US" w:eastAsia="zh-CN"/>
              </w:rPr>
              <w:t>15个</w:t>
            </w:r>
            <w:r>
              <w:rPr>
                <w:rFonts w:hint="eastAsia" w:ascii="Calibri" w:hAnsi="Calibri" w:cs="Calibri"/>
                <w:bCs/>
                <w:color w:val="auto"/>
                <w:szCs w:val="21"/>
                <w:highlight w:val="none"/>
              </w:rPr>
              <w:t>投标人</w:t>
            </w:r>
            <w:r>
              <w:rPr>
                <w:rFonts w:hint="eastAsia" w:ascii="Calibri" w:hAnsi="Calibri" w:cs="Calibri"/>
                <w:bCs/>
                <w:color w:val="auto"/>
                <w:szCs w:val="21"/>
                <w:highlight w:val="none"/>
                <w:lang w:val="en-US" w:eastAsia="zh-CN"/>
              </w:rPr>
              <w:t>进行投标报价</w:t>
            </w:r>
            <w:r>
              <w:rPr>
                <w:rFonts w:hint="eastAsia" w:ascii="Calibri" w:hAnsi="Calibri" w:cs="Calibri"/>
                <w:bCs/>
                <w:color w:val="auto"/>
                <w:szCs w:val="21"/>
                <w:highlight w:val="none"/>
              </w:rPr>
              <w:t>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lang w:val="en-US" w:eastAsia="zh-CN"/>
              </w:rPr>
              <w:t>不足15个时，全部进入投标报价评审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rPr>
              <w:t>。</w:t>
            </w:r>
            <w:r>
              <w:rPr>
                <w:rFonts w:hint="eastAsia" w:ascii="Calibri" w:hAnsi="Calibri" w:cs="Calibri"/>
                <w:color w:val="auto"/>
                <w:kern w:val="0"/>
                <w:szCs w:val="32"/>
                <w:highlight w:val="none"/>
              </w:rPr>
              <w:t>得分相同无法确定前1</w:t>
            </w:r>
            <w:r>
              <w:rPr>
                <w:rFonts w:hint="default" w:ascii="Calibri" w:hAnsi="Calibri" w:cs="Calibri"/>
                <w:color w:val="auto"/>
                <w:kern w:val="0"/>
                <w:szCs w:val="32"/>
                <w:highlight w:val="none"/>
              </w:rPr>
              <w:t>5</w:t>
            </w:r>
            <w:r>
              <w:rPr>
                <w:rFonts w:hint="eastAsia" w:ascii="Calibri" w:hAnsi="Calibri" w:cs="Calibri"/>
                <w:color w:val="auto"/>
                <w:kern w:val="0"/>
                <w:szCs w:val="32"/>
                <w:highlight w:val="none"/>
              </w:rPr>
              <w:t>个投标人时，</w:t>
            </w:r>
            <w:r>
              <w:rPr>
                <w:rFonts w:hint="eastAsia" w:ascii="Calibri" w:hAnsi="仿宋_GB2312" w:cs="Calibri"/>
                <w:color w:val="auto"/>
                <w:szCs w:val="32"/>
                <w:highlight w:val="none"/>
              </w:rPr>
              <w:t>其末位投标人得分相同的全部进入</w:t>
            </w:r>
            <w:r>
              <w:rPr>
                <w:rFonts w:hint="eastAsia" w:ascii="Calibri" w:hAnsi="Calibri" w:cs="Calibri"/>
                <w:color w:val="auto"/>
                <w:kern w:val="0"/>
                <w:szCs w:val="32"/>
                <w:highlight w:val="none"/>
                <w:lang w:val="en-US" w:eastAsia="zh-CN"/>
              </w:rPr>
              <w:t>投标报价</w:t>
            </w:r>
            <w:r>
              <w:rPr>
                <w:rFonts w:hint="eastAsia" w:ascii="Calibri" w:hAnsi="Calibri" w:cs="Calibri"/>
                <w:color w:val="auto"/>
                <w:kern w:val="0"/>
                <w:szCs w:val="32"/>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技术方案</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编制</w:t>
            </w:r>
            <w:r>
              <w:rPr>
                <w:rFonts w:hint="eastAsia" w:ascii="Calibri" w:hAnsi="Calibri" w:cs="Calibri"/>
                <w:color w:val="auto"/>
                <w:szCs w:val="21"/>
                <w:highlight w:val="none"/>
              </w:rPr>
              <w:t>规定</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合格性</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明</w:t>
            </w:r>
            <w:r>
              <w:rPr>
                <w:rFonts w:hint="default" w:ascii="Calibri" w:hAnsi="Calibri" w:cs="Calibri"/>
                <w:color w:val="auto"/>
                <w:szCs w:val="21"/>
                <w:highlight w:val="none"/>
              </w:rPr>
              <w:t>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计分</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（暗标）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建筑信息模型</w:t>
            </w:r>
            <w:r>
              <w:rPr>
                <w:rFonts w:hint="eastAsia" w:ascii="Calibri" w:hAnsi="Calibri" w:cs="Calibri"/>
                <w:color w:val="auto"/>
                <w:szCs w:val="21"/>
                <w:highlight w:val="none"/>
              </w:rPr>
              <w:t>：□技术方案包括BIM</w:t>
            </w:r>
            <w:r>
              <w:rPr>
                <w:rFonts w:hint="eastAsia" w:ascii="Calibri" w:hAnsi="Calibri" w:cs="Calibri"/>
                <w:color w:val="auto"/>
                <w:szCs w:val="21"/>
                <w:highlight w:val="none"/>
                <w:lang w:val="en-US" w:eastAsia="zh-CN"/>
              </w:rPr>
              <w:t>工作方案</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1892" w:firstLineChars="901"/>
              <w:rPr>
                <w:rFonts w:hint="eastAsia" w:ascii="Calibri" w:hAnsi="Calibri" w:cs="Calibri"/>
                <w:color w:val="auto"/>
                <w:szCs w:val="21"/>
                <w:highlight w:val="none"/>
                <w:lang w:val="en-US" w:eastAsia="zh-CN"/>
              </w:rPr>
            </w:pPr>
            <w:r>
              <w:rPr>
                <w:rFonts w:hint="eastAsia" w:ascii="Calibri" w:hAnsi="Calibri" w:cs="Calibri"/>
                <w:color w:val="auto"/>
                <w:szCs w:val="21"/>
                <w:highlight w:val="none"/>
              </w:rPr>
              <w:t>□技术方案不包括BIM</w:t>
            </w:r>
            <w:r>
              <w:rPr>
                <w:rFonts w:hint="eastAsia" w:ascii="Calibri" w:hAnsi="Calibri" w:cs="Calibri"/>
                <w:color w:val="auto"/>
                <w:szCs w:val="21"/>
                <w:highlight w:val="none"/>
                <w:lang w:val="en-US" w:eastAsia="zh-CN"/>
              </w:rPr>
              <w:t>工作方案</w:t>
            </w:r>
          </w:p>
          <w:p>
            <w:pPr>
              <w:keepNext w:val="0"/>
              <w:keepLines w:val="0"/>
              <w:suppressLineNumbers w:val="0"/>
              <w:spacing w:before="0" w:beforeAutospacing="0" w:after="0" w:afterAutospacing="0"/>
              <w:ind w:left="0" w:leftChars="0" w:right="0" w:firstLine="0" w:firstLineChars="0"/>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 xml:space="preserve">   技术方案页数：不超过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7</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w:t>
            </w:r>
            <w:r>
              <w:rPr>
                <w:rFonts w:hint="eastAsia" w:ascii="Calibri" w:hAnsi="Calibri" w:cs="Calibri"/>
                <w:color w:val="auto"/>
                <w:szCs w:val="21"/>
                <w:highlight w:val="none"/>
              </w:rPr>
              <w:t>采用</w:t>
            </w:r>
            <w:r>
              <w:rPr>
                <w:rFonts w:hint="default" w:ascii="Calibri" w:hAnsi="Calibri" w:cs="Calibri"/>
                <w:color w:val="auto"/>
                <w:szCs w:val="21"/>
                <w:highlight w:val="none"/>
              </w:rPr>
              <w:t>计算机辅助评标</w:t>
            </w:r>
            <w:r>
              <w:rPr>
                <w:rFonts w:hint="eastAsia" w:ascii="Calibri" w:hAnsi="Calibri" w:cs="Calibri"/>
                <w:color w:val="auto"/>
                <w:szCs w:val="21"/>
                <w:highlight w:val="none"/>
              </w:rPr>
              <w:t>，计算机辅助评标方法见投标人须知附件2-</w:t>
            </w:r>
            <w:r>
              <w:rPr>
                <w:rFonts w:hint="default" w:ascii="Calibri" w:hAnsi="Calibri" w:cs="Calibri"/>
                <w:color w:val="auto"/>
                <w:szCs w:val="21"/>
                <w:highlight w:val="none"/>
              </w:rPr>
              <w:t>3</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w:t>
            </w:r>
            <w:r>
              <w:rPr>
                <w:rFonts w:hint="eastAsia" w:ascii="Calibri" w:hAnsi="Calibri" w:cs="Calibri"/>
                <w:color w:val="auto"/>
                <w:szCs w:val="21"/>
                <w:highlight w:val="none"/>
                <w:lang w:val="en-US" w:eastAsia="zh-CN"/>
              </w:rPr>
              <w:t>9</w:t>
            </w:r>
          </w:p>
        </w:tc>
        <w:tc>
          <w:tcPr>
            <w:tcW w:w="1770" w:type="dxa"/>
            <w:gridSpan w:val="2"/>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是否要求投标人代表出席现场开标会</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0</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1</w:t>
            </w:r>
          </w:p>
        </w:tc>
        <w:tc>
          <w:tcPr>
            <w:tcW w:w="1770"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096" w:type="dxa"/>
            <w:noWrap w:val="0"/>
            <w:vAlign w:val="center"/>
          </w:tcPr>
          <w:p>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w:t>
            </w:r>
            <w:r>
              <w:rPr>
                <w:rFonts w:hint="eastAsia" w:ascii="宋体" w:hAnsi="宋体" w:cs="Calibri"/>
                <w:color w:val="auto"/>
                <w:szCs w:val="21"/>
                <w:highlight w:val="none"/>
              </w:rPr>
              <w:t>□</w:t>
            </w:r>
            <w:r>
              <w:rPr>
                <w:rFonts w:hint="eastAsia" w:ascii="Calibri" w:hAnsi="Calibri" w:cs="Calibri"/>
                <w:color w:val="auto"/>
                <w:highlight w:val="none"/>
              </w:rPr>
              <w:t>施工、</w:t>
            </w:r>
            <w:r>
              <w:rPr>
                <w:rFonts w:hint="eastAsia" w:ascii="宋体" w:hAnsi="宋体" w:cs="Calibri"/>
                <w:color w:val="auto"/>
                <w:szCs w:val="21"/>
                <w:highlight w:val="none"/>
              </w:rPr>
              <w:t>□</w:t>
            </w:r>
            <w:r>
              <w:rPr>
                <w:rFonts w:hint="eastAsia" w:ascii="Calibri" w:hAnsi="Calibri" w:cs="Calibri"/>
                <w:color w:val="auto"/>
                <w:highlight w:val="none"/>
              </w:rPr>
              <w:t>设计入湘企业在“湖南省住房和城乡建设网”进行基本信息登记（按照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w:t>
            </w:r>
            <w:r>
              <w:rPr>
                <w:rFonts w:hint="eastAsia" w:ascii="Calibri" w:hAnsi="Calibri" w:cs="Calibri"/>
                <w:color w:val="auto"/>
                <w:szCs w:val="21"/>
                <w:highlight w:val="none"/>
              </w:rPr>
              <w:t>条件</w:t>
            </w:r>
            <w:r>
              <w:rPr>
                <w:rFonts w:hint="default" w:ascii="Calibri" w:hAnsi="Calibri" w:cs="Calibri"/>
                <w:color w:val="auto"/>
                <w:szCs w:val="21"/>
                <w:highlight w:val="none"/>
              </w:rPr>
              <w:t>”、“专用合同</w:t>
            </w:r>
            <w:r>
              <w:rPr>
                <w:rFonts w:hint="eastAsia" w:ascii="Calibri" w:hAnsi="Calibri" w:cs="Calibri"/>
                <w:color w:val="auto"/>
                <w:szCs w:val="21"/>
                <w:highlight w:val="none"/>
              </w:rPr>
              <w:t>条件</w:t>
            </w:r>
            <w:r>
              <w:rPr>
                <w:rFonts w:hint="default" w:ascii="Calibri" w:hAnsi="Calibri" w:cs="Calibri"/>
                <w:color w:val="auto"/>
                <w:szCs w:val="21"/>
                <w:highlight w:val="none"/>
              </w:rPr>
              <w:t>”、“</w:t>
            </w:r>
            <w:r>
              <w:rPr>
                <w:rFonts w:hint="eastAsia" w:ascii="Calibri" w:hAnsi="Calibri" w:cs="Calibri"/>
                <w:color w:val="auto"/>
                <w:szCs w:val="21"/>
                <w:highlight w:val="none"/>
              </w:rPr>
              <w:t>发包人</w:t>
            </w:r>
            <w:r>
              <w:rPr>
                <w:rFonts w:hint="default" w:ascii="Calibri" w:hAnsi="Calibri" w:cs="Calibri"/>
                <w:color w:val="auto"/>
                <w:szCs w:val="21"/>
                <w:highlight w:val="none"/>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14</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noWrap w:val="0"/>
            <w:vAlign w:val="center"/>
          </w:tcPr>
          <w:p>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w:t>
            </w:r>
            <w:r>
              <w:rPr>
                <w:rFonts w:hint="eastAsia" w:ascii="Calibri" w:hAnsi="Calibri" w:cs="Calibri"/>
                <w:color w:val="auto"/>
                <w:szCs w:val="21"/>
                <w:highlight w:val="none"/>
              </w:rPr>
              <w:t>条件</w:t>
            </w:r>
            <w:r>
              <w:rPr>
                <w:rFonts w:hint="default" w:ascii="Calibri" w:hAnsi="Calibri" w:cs="Calibri"/>
                <w:color w:val="auto"/>
                <w:szCs w:val="21"/>
                <w:highlight w:val="none"/>
              </w:rPr>
              <w:t>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w:t>
            </w:r>
            <w:r>
              <w:rPr>
                <w:rFonts w:hint="eastAsia" w:ascii="Calibri" w:hAnsi="Calibri" w:cs="Calibri"/>
                <w:color w:val="auto"/>
                <w:szCs w:val="21"/>
                <w:highlight w:val="none"/>
              </w:rPr>
              <w:t>1</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.2</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1.招标文件中所设置的内容、条款及未尽事宜，以国家或省有关规定为准；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拟任工程总承包负责人及施工负责人在建情况以投标截止时在“湖南省建筑工程监管信息平台”查询信息为准，有在其他项目任关键岗位人员情形的，评标委员会应当否决其投标。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以投标截止时为准，拟任工程总承包负责人及施工负责人在“湖南省建筑工程监管信息平台”之外有在其他项目任关键岗位人员情形的，应当在投标文件中如实注明，未如实注明平台之外的在建情况的，招标人提请住房和城乡建设主管部门按规定予以信用评价扣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中标候选人公示明确的公示期满之前，拟任工程总承包负责人及施工负责人有平台之外的在建情况，未按期从其他项目撤离的，招标人取消其中标资格，并提请住房和城乡建设主管部门按规定予以信用评价扣分。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.3</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.4</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ascii="Calibri" w:hAnsi="Calibri" w:cs="Calibri"/>
                <w:color w:val="auto"/>
                <w:highlight w:val="none"/>
                <w:u w:val="single"/>
              </w:rPr>
              <w:t xml:space="preserve">            </w:t>
            </w:r>
          </w:p>
          <w:p>
            <w:pPr>
              <w:pStyle w:val="155"/>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.5</w:t>
            </w:r>
          </w:p>
        </w:tc>
        <w:tc>
          <w:tcPr>
            <w:tcW w:w="7866" w:type="dxa"/>
            <w:gridSpan w:val="3"/>
            <w:noWrap w:val="0"/>
            <w:vAlign w:val="center"/>
          </w:tcPr>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招标人及招标代理机构承诺：</w:t>
            </w:r>
          </w:p>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1.依法</w:t>
            </w:r>
            <w:r>
              <w:rPr>
                <w:rFonts w:hint="default" w:ascii="宋体" w:hAnsi="宋体" w:cs="仿宋_GB2312"/>
                <w:color w:val="auto"/>
                <w:highlight w:val="none"/>
              </w:rPr>
              <w:t>依规开展招投标活动，</w:t>
            </w:r>
            <w:r>
              <w:rPr>
                <w:rFonts w:hint="eastAsia" w:ascii="宋体" w:hAnsi="宋体" w:cs="仿宋_GB2312"/>
                <w:color w:val="auto"/>
                <w:highlight w:val="none"/>
              </w:rPr>
              <w:t>不以</w:t>
            </w:r>
            <w:r>
              <w:rPr>
                <w:rFonts w:hint="default" w:ascii="宋体" w:hAnsi="宋体" w:cs="仿宋_GB2312"/>
                <w:color w:val="auto"/>
                <w:highlight w:val="none"/>
              </w:rPr>
              <w:t>直接或者间接、明示或者暗示的方式</w:t>
            </w:r>
            <w:r>
              <w:rPr>
                <w:rFonts w:hint="eastAsia" w:ascii="宋体" w:hAnsi="宋体" w:cs="仿宋_GB2312"/>
                <w:color w:val="auto"/>
                <w:highlight w:val="none"/>
              </w:rPr>
              <w:t>干预</w:t>
            </w:r>
            <w:r>
              <w:rPr>
                <w:rFonts w:hint="default" w:ascii="宋体" w:hAnsi="宋体" w:cs="仿宋_GB2312"/>
                <w:color w:val="auto"/>
                <w:highlight w:val="none"/>
              </w:rPr>
              <w:t>和</w:t>
            </w:r>
            <w:r>
              <w:rPr>
                <w:rFonts w:hint="eastAsia" w:ascii="宋体" w:hAnsi="宋体" w:cs="仿宋_GB2312"/>
                <w:color w:val="auto"/>
                <w:highlight w:val="none"/>
              </w:rPr>
              <w:t>影</w:t>
            </w:r>
            <w:r>
              <w:rPr>
                <w:rFonts w:hint="default" w:ascii="宋体" w:hAnsi="宋体" w:cs="仿宋_GB2312"/>
                <w:color w:val="auto"/>
                <w:highlight w:val="none"/>
              </w:rPr>
              <w:t>响</w:t>
            </w:r>
            <w:r>
              <w:rPr>
                <w:rFonts w:hint="eastAsia" w:ascii="宋体" w:hAnsi="宋体" w:cs="仿宋_GB2312"/>
                <w:color w:val="auto"/>
                <w:highlight w:val="none"/>
              </w:rPr>
              <w:t>招</w:t>
            </w:r>
            <w:r>
              <w:rPr>
                <w:rFonts w:hint="default" w:ascii="宋体" w:hAnsi="宋体" w:cs="仿宋_GB2312"/>
                <w:color w:val="auto"/>
                <w:highlight w:val="none"/>
              </w:rPr>
              <w:t>标投标活动正常</w:t>
            </w:r>
            <w:r>
              <w:rPr>
                <w:rFonts w:hint="eastAsia" w:ascii="宋体" w:hAnsi="宋体" w:cs="仿宋_GB2312"/>
                <w:color w:val="auto"/>
                <w:highlight w:val="none"/>
              </w:rPr>
              <w:t>的</w:t>
            </w:r>
            <w:r>
              <w:rPr>
                <w:rFonts w:hint="default" w:ascii="宋体" w:hAnsi="宋体" w:cs="仿宋_GB2312"/>
                <w:color w:val="auto"/>
                <w:highlight w:val="none"/>
              </w:rPr>
              <w:t>开展</w:t>
            </w:r>
            <w:r>
              <w:rPr>
                <w:rFonts w:hint="eastAsia" w:ascii="宋体" w:hAnsi="宋体" w:cs="仿宋_GB2312"/>
                <w:color w:val="auto"/>
                <w:highlight w:val="none"/>
                <w:lang w:eastAsia="zh-CN"/>
              </w:rPr>
              <w:t>；</w:t>
            </w:r>
          </w:p>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仿宋_GB2312"/>
                <w:color w:val="auto"/>
                <w:highlight w:val="none"/>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bookmarkStart w:id="76" w:name="_Toc300677998"/>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仿宋" w:hAnsi="仿宋" w:eastAsia="仿宋" w:cs="仿宋_GB2312"/>
                <w:color w:val="auto"/>
                <w:szCs w:val="21"/>
                <w:highlight w:val="none"/>
                <w:lang w:val="en-US" w:eastAsia="zh-CN"/>
              </w:rPr>
            </w:pPr>
            <w:r>
              <w:rPr>
                <w:rFonts w:hint="eastAsia" w:ascii="宋体" w:hAnsi="宋体" w:eastAsia="宋体" w:cs="宋体"/>
                <w:color w:val="auto"/>
                <w:szCs w:val="21"/>
                <w:highlight w:val="none"/>
                <w:lang w:val="en-US" w:eastAsia="zh-CN"/>
              </w:rPr>
              <w:t>......</w:t>
            </w:r>
          </w:p>
        </w:tc>
      </w:tr>
    </w:tbl>
    <w:p>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76"/>
    </w:p>
    <w:p>
      <w:pPr>
        <w:pStyle w:val="155"/>
        <w:rPr>
          <w:rFonts w:eastAsia="黑体"/>
          <w:color w:val="auto"/>
          <w:highlight w:val="none"/>
        </w:rPr>
      </w:pPr>
    </w:p>
    <w:p>
      <w:pPr>
        <w:pStyle w:val="4"/>
        <w:keepNext/>
        <w:keepLines/>
        <w:widowControl w:val="0"/>
        <w:jc w:val="left"/>
        <w:rPr>
          <w:rFonts w:eastAsia="黑体"/>
          <w:b w:val="0"/>
          <w:bCs w:val="0"/>
          <w:color w:val="auto"/>
          <w:sz w:val="28"/>
          <w:szCs w:val="28"/>
          <w:highlight w:val="none"/>
        </w:rPr>
      </w:pPr>
      <w:bookmarkStart w:id="77" w:name="_Toc300677999"/>
      <w:bookmarkStart w:id="78" w:name="_Toc9178518"/>
      <w:bookmarkStart w:id="79" w:name="_Toc69199908"/>
      <w:r>
        <w:rPr>
          <w:rFonts w:eastAsia="黑体"/>
          <w:b w:val="0"/>
          <w:bCs w:val="0"/>
          <w:color w:val="auto"/>
          <w:sz w:val="28"/>
          <w:szCs w:val="28"/>
          <w:highlight w:val="none"/>
        </w:rPr>
        <w:t>1.总则</w:t>
      </w:r>
      <w:bookmarkEnd w:id="77"/>
      <w:bookmarkEnd w:id="78"/>
      <w:bookmarkEnd w:id="79"/>
    </w:p>
    <w:p>
      <w:pPr>
        <w:pStyle w:val="5"/>
        <w:rPr>
          <w:rFonts w:ascii="Times New Roman" w:hAnsi="Times New Roman" w:eastAsia="黑体"/>
          <w:b w:val="0"/>
          <w:bCs w:val="0"/>
          <w:color w:val="auto"/>
          <w:sz w:val="24"/>
          <w:highlight w:val="none"/>
        </w:rPr>
      </w:pPr>
      <w:bookmarkStart w:id="80" w:name="_Toc300678000"/>
      <w:r>
        <w:rPr>
          <w:rFonts w:ascii="Times New Roman" w:hAnsi="Times New Roman" w:eastAsia="黑体"/>
          <w:b w:val="0"/>
          <w:bCs w:val="0"/>
          <w:color w:val="auto"/>
          <w:sz w:val="24"/>
          <w:highlight w:val="none"/>
        </w:rPr>
        <w:t>1.1 项目概况</w:t>
      </w:r>
      <w:bookmarkEnd w:id="80"/>
    </w:p>
    <w:p>
      <w:pPr>
        <w:pStyle w:val="155"/>
        <w:spacing w:line="360" w:lineRule="auto"/>
        <w:ind w:firstLine="420" w:firstLineChars="200"/>
        <w:rPr>
          <w:color w:val="auto"/>
          <w:highlight w:val="none"/>
        </w:rPr>
      </w:pPr>
      <w:r>
        <w:rPr>
          <w:color w:val="auto"/>
          <w:highlight w:val="none"/>
        </w:rPr>
        <w:t>1.1.1  根</w:t>
      </w:r>
      <w:r>
        <w:rPr>
          <w:rFonts w:ascii="Times New Roman" w:hAnsi="Times New Roman" w:eastAsia="宋体" w:cs="Times New Roman"/>
          <w:color w:val="auto"/>
          <w:highlight w:val="none"/>
        </w:rPr>
        <w:t>据《中华人民共和国招标投标法》</w:t>
      </w:r>
      <w:r>
        <w:rPr>
          <w:rFonts w:ascii="Times New Roman" w:hAnsi="Times New Roman" w:eastAsia="宋体" w:cs="Times New Roman"/>
          <w:color w:val="auto"/>
          <w:sz w:val="21"/>
          <w:szCs w:val="21"/>
          <w:highlight w:val="none"/>
        </w:rPr>
        <w:t>《中华人民共和国招标投标法实施条例》</w:t>
      </w:r>
      <w:r>
        <w:rPr>
          <w:rFonts w:ascii="Times New Roman" w:hAnsi="Times New Roman" w:eastAsia="宋体" w:cs="Times New Roman"/>
          <w:color w:val="auto"/>
          <w:highlight w:val="none"/>
        </w:rPr>
        <w:t xml:space="preserve"> </w:t>
      </w:r>
      <w:r>
        <w:rPr>
          <w:color w:val="auto"/>
          <w:highlight w:val="none"/>
        </w:rPr>
        <w:t>等有关法律、法规和规章的规定，本招标项目已具备招标条件，现对</w:t>
      </w:r>
      <w:r>
        <w:rPr>
          <w:rFonts w:hint="eastAsia"/>
          <w:color w:val="auto"/>
          <w:highlight w:val="none"/>
        </w:rPr>
        <w:t>工程总承包</w:t>
      </w:r>
      <w:r>
        <w:rPr>
          <w:color w:val="auto"/>
          <w:highlight w:val="none"/>
        </w:rPr>
        <w:t>进行招标。</w:t>
      </w:r>
    </w:p>
    <w:p>
      <w:pPr>
        <w:pStyle w:val="155"/>
        <w:spacing w:line="360" w:lineRule="auto"/>
        <w:ind w:firstLine="420" w:firstLineChars="200"/>
        <w:rPr>
          <w:color w:val="auto"/>
          <w:highlight w:val="none"/>
        </w:rPr>
      </w:pPr>
      <w:r>
        <w:rPr>
          <w:color w:val="auto"/>
          <w:highlight w:val="none"/>
        </w:rPr>
        <w:t>1.1.2  招标人：见投标人须知前附表。</w:t>
      </w:r>
    </w:p>
    <w:p>
      <w:pPr>
        <w:pStyle w:val="155"/>
        <w:spacing w:line="360" w:lineRule="auto"/>
        <w:ind w:firstLine="420" w:firstLineChars="200"/>
        <w:rPr>
          <w:color w:val="auto"/>
          <w:highlight w:val="none"/>
        </w:rPr>
      </w:pPr>
      <w:r>
        <w:rPr>
          <w:color w:val="auto"/>
          <w:highlight w:val="none"/>
        </w:rPr>
        <w:t>1.1.3  招标代理机构：见投标人须知前附表。</w:t>
      </w:r>
    </w:p>
    <w:p>
      <w:pPr>
        <w:pStyle w:val="155"/>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155"/>
        <w:spacing w:line="360" w:lineRule="auto"/>
        <w:ind w:firstLine="420" w:firstLineChars="200"/>
        <w:rPr>
          <w:color w:val="auto"/>
          <w:highlight w:val="none"/>
        </w:rPr>
      </w:pPr>
      <w:r>
        <w:rPr>
          <w:color w:val="auto"/>
          <w:highlight w:val="none"/>
        </w:rPr>
        <w:t>1.1.5  建设地点：见投标人须知前附表。</w:t>
      </w:r>
    </w:p>
    <w:p>
      <w:pPr>
        <w:pStyle w:val="5"/>
        <w:rPr>
          <w:rFonts w:ascii="Times New Roman" w:hAnsi="Times New Roman" w:eastAsia="黑体"/>
          <w:b w:val="0"/>
          <w:bCs w:val="0"/>
          <w:color w:val="auto"/>
          <w:sz w:val="24"/>
          <w:highlight w:val="none"/>
        </w:rPr>
      </w:pPr>
      <w:bookmarkStart w:id="81" w:name="_Toc300678001"/>
      <w:r>
        <w:rPr>
          <w:rFonts w:ascii="Times New Roman" w:hAnsi="Times New Roman" w:eastAsia="黑体"/>
          <w:b w:val="0"/>
          <w:bCs w:val="0"/>
          <w:color w:val="auto"/>
          <w:sz w:val="24"/>
          <w:highlight w:val="none"/>
        </w:rPr>
        <w:t>1.2 资金来源和落实情况</w:t>
      </w:r>
      <w:bookmarkEnd w:id="81"/>
    </w:p>
    <w:p>
      <w:pPr>
        <w:pStyle w:val="155"/>
        <w:spacing w:line="360" w:lineRule="auto"/>
        <w:ind w:firstLine="420" w:firstLineChars="200"/>
        <w:rPr>
          <w:color w:val="auto"/>
          <w:highlight w:val="none"/>
        </w:rPr>
      </w:pPr>
      <w:r>
        <w:rPr>
          <w:color w:val="auto"/>
          <w:highlight w:val="none"/>
        </w:rPr>
        <w:t>详见招标公告或投标邀请书 。</w:t>
      </w:r>
    </w:p>
    <w:p>
      <w:pPr>
        <w:pStyle w:val="5"/>
        <w:rPr>
          <w:rFonts w:ascii="Times New Roman" w:hAnsi="Times New Roman" w:eastAsia="黑体"/>
          <w:b w:val="0"/>
          <w:bCs w:val="0"/>
          <w:color w:val="auto"/>
          <w:sz w:val="24"/>
          <w:highlight w:val="none"/>
        </w:rPr>
      </w:pPr>
      <w:bookmarkStart w:id="82" w:name="_Toc300678002"/>
      <w:r>
        <w:rPr>
          <w:rFonts w:ascii="Times New Roman" w:hAnsi="Times New Roman" w:eastAsia="黑体"/>
          <w:b w:val="0"/>
          <w:bCs w:val="0"/>
          <w:color w:val="auto"/>
          <w:sz w:val="24"/>
          <w:highlight w:val="none"/>
        </w:rPr>
        <w:t>1.3 招标范围、计划工期和质量要求</w:t>
      </w:r>
      <w:bookmarkEnd w:id="82"/>
    </w:p>
    <w:p>
      <w:pPr>
        <w:pStyle w:val="155"/>
        <w:spacing w:line="360" w:lineRule="auto"/>
        <w:ind w:firstLine="420" w:firstLineChars="200"/>
        <w:rPr>
          <w:color w:val="auto"/>
          <w:highlight w:val="none"/>
        </w:rPr>
      </w:pPr>
      <w:r>
        <w:rPr>
          <w:color w:val="auto"/>
          <w:highlight w:val="none"/>
        </w:rPr>
        <w:t>1.3.1  招标范围：见投标人须知前附表。</w:t>
      </w:r>
    </w:p>
    <w:p>
      <w:pPr>
        <w:pStyle w:val="155"/>
        <w:spacing w:line="360" w:lineRule="auto"/>
        <w:ind w:firstLine="420" w:firstLineChars="200"/>
        <w:rPr>
          <w:color w:val="auto"/>
          <w:highlight w:val="none"/>
        </w:rPr>
      </w:pPr>
      <w:r>
        <w:rPr>
          <w:color w:val="auto"/>
          <w:highlight w:val="none"/>
        </w:rPr>
        <w:t>1.3.2  计划工期：见投标人须知前附表。</w:t>
      </w:r>
    </w:p>
    <w:p>
      <w:pPr>
        <w:pStyle w:val="155"/>
        <w:spacing w:line="360" w:lineRule="auto"/>
        <w:ind w:firstLine="420" w:firstLineChars="200"/>
        <w:rPr>
          <w:color w:val="auto"/>
          <w:highlight w:val="none"/>
        </w:rPr>
      </w:pPr>
      <w:r>
        <w:rPr>
          <w:color w:val="auto"/>
          <w:highlight w:val="none"/>
        </w:rPr>
        <w:t>1.3.3  质量标准和保修要求：见投标人须知前附表。</w:t>
      </w:r>
    </w:p>
    <w:p>
      <w:pPr>
        <w:pStyle w:val="5"/>
        <w:rPr>
          <w:rFonts w:ascii="Times New Roman" w:hAnsi="Times New Roman" w:eastAsia="黑体"/>
          <w:b w:val="0"/>
          <w:bCs w:val="0"/>
          <w:color w:val="auto"/>
          <w:sz w:val="24"/>
          <w:highlight w:val="none"/>
        </w:rPr>
      </w:pPr>
      <w:bookmarkStart w:id="83" w:name="_Toc300678003"/>
      <w:r>
        <w:rPr>
          <w:rFonts w:ascii="Times New Roman" w:hAnsi="Times New Roman" w:eastAsia="黑体"/>
          <w:b w:val="0"/>
          <w:bCs w:val="0"/>
          <w:color w:val="auto"/>
          <w:sz w:val="24"/>
          <w:highlight w:val="none"/>
        </w:rPr>
        <w:t>1.4 投标人资格要求</w:t>
      </w:r>
    </w:p>
    <w:bookmarkEnd w:id="83"/>
    <w:p>
      <w:pPr>
        <w:pStyle w:val="155"/>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工程总承包</w:t>
      </w:r>
      <w:r>
        <w:rPr>
          <w:color w:val="auto"/>
          <w:highlight w:val="none"/>
        </w:rPr>
        <w:t>的资质条件：见投标人须知前附表；</w:t>
      </w:r>
    </w:p>
    <w:p>
      <w:pPr>
        <w:pStyle w:val="155"/>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155"/>
        <w:spacing w:line="360" w:lineRule="auto"/>
        <w:ind w:firstLine="420" w:firstLineChars="200"/>
        <w:rPr>
          <w:bCs/>
          <w:color w:val="auto"/>
          <w:highlight w:val="none"/>
        </w:rPr>
      </w:pPr>
      <w:r>
        <w:rPr>
          <w:bCs/>
          <w:color w:val="auto"/>
          <w:highlight w:val="none"/>
        </w:rPr>
        <w:t>（1）</w:t>
      </w:r>
      <w:r>
        <w:rPr>
          <w:rFonts w:hint="eastAsia"/>
          <w:bCs/>
          <w:color w:val="auto"/>
          <w:highlight w:val="none"/>
          <w:lang w:eastAsia="zh-CN"/>
        </w:rPr>
        <w:t>联合体各方</w:t>
      </w:r>
      <w:r>
        <w:rPr>
          <w:bCs/>
          <w:color w:val="auto"/>
          <w:highlight w:val="none"/>
        </w:rPr>
        <w:t>应按招标文件提供的格式签订</w:t>
      </w:r>
      <w:r>
        <w:rPr>
          <w:rFonts w:hint="eastAsia"/>
          <w:bCs/>
          <w:color w:val="auto"/>
          <w:highlight w:val="none"/>
          <w:lang w:val="en-US" w:eastAsia="zh-CN"/>
        </w:rPr>
        <w:t>共同投标</w:t>
      </w:r>
      <w:r>
        <w:rPr>
          <w:bCs/>
          <w:color w:val="auto"/>
          <w:highlight w:val="none"/>
        </w:rPr>
        <w:t>协议，明确联合体牵头人和各方权利义务；</w:t>
      </w:r>
    </w:p>
    <w:p>
      <w:pPr>
        <w:pStyle w:val="155"/>
        <w:spacing w:line="360" w:lineRule="auto"/>
        <w:ind w:firstLine="420" w:firstLineChars="200"/>
        <w:rPr>
          <w:bCs/>
          <w:color w:val="auto"/>
          <w:highlight w:val="none"/>
        </w:rPr>
      </w:pPr>
      <w:r>
        <w:rPr>
          <w:bCs/>
          <w:color w:val="auto"/>
          <w:highlight w:val="none"/>
        </w:rPr>
        <w:t>（2）由同一专业的单位组成的联合体，</w:t>
      </w:r>
      <w:r>
        <w:rPr>
          <w:rFonts w:hint="eastAsia" w:ascii="宋体" w:hAnsi="宋体"/>
          <w:bCs/>
          <w:color w:val="auto"/>
          <w:highlight w:val="none"/>
        </w:rPr>
        <w:t>按照联合体各自承担的工作范围所对应的资质等级较低的单位确定资质等级</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（3）</w:t>
      </w:r>
      <w:r>
        <w:rPr>
          <w:rFonts w:hint="eastAsia"/>
          <w:bCs/>
          <w:color w:val="auto"/>
          <w:highlight w:val="none"/>
        </w:rPr>
        <w:t>通过资格预审的联合体，其各方组成结构或职责，以及资格条件不得改变；</w:t>
      </w:r>
    </w:p>
    <w:p>
      <w:pPr>
        <w:pStyle w:val="155"/>
        <w:spacing w:line="360" w:lineRule="auto"/>
        <w:ind w:firstLine="420" w:firstLineChars="200"/>
        <w:rPr>
          <w:bCs/>
          <w:color w:val="auto"/>
          <w:highlight w:val="none"/>
        </w:rPr>
      </w:pPr>
      <w:r>
        <w:rPr>
          <w:rFonts w:hint="eastAsia"/>
          <w:bCs/>
          <w:color w:val="auto"/>
          <w:highlight w:val="none"/>
        </w:rPr>
        <w:t>（4）</w:t>
      </w:r>
      <w:r>
        <w:rPr>
          <w:rFonts w:hint="eastAsia"/>
          <w:bCs/>
          <w:color w:val="auto"/>
          <w:highlight w:val="none"/>
          <w:lang w:eastAsia="zh-CN"/>
        </w:rPr>
        <w:t>联合体各方</w:t>
      </w:r>
      <w:r>
        <w:rPr>
          <w:bCs/>
          <w:color w:val="auto"/>
          <w:highlight w:val="none"/>
        </w:rPr>
        <w:t>不得再以自己名义单独或参加其他联合体在同一标段</w:t>
      </w:r>
      <w:r>
        <w:rPr>
          <w:rFonts w:hint="eastAsia"/>
          <w:bCs/>
          <w:color w:val="auto"/>
          <w:highlight w:val="none"/>
        </w:rPr>
        <w:t>或者未划分标段的同一项目</w:t>
      </w:r>
      <w:r>
        <w:rPr>
          <w:bCs/>
          <w:color w:val="auto"/>
          <w:highlight w:val="none"/>
        </w:rPr>
        <w:t>中投标。</w:t>
      </w:r>
    </w:p>
    <w:p>
      <w:pPr>
        <w:pStyle w:val="155"/>
        <w:spacing w:line="360" w:lineRule="auto"/>
        <w:ind w:firstLine="420" w:firstLineChars="200"/>
        <w:rPr>
          <w:bCs/>
          <w:color w:val="auto"/>
          <w:highlight w:val="none"/>
        </w:rPr>
      </w:pPr>
      <w:r>
        <w:rPr>
          <w:bCs/>
          <w:color w:val="auto"/>
          <w:highlight w:val="none"/>
        </w:rPr>
        <w:t>1.4.3 投标人不得存在下列情形之一：</w:t>
      </w:r>
    </w:p>
    <w:p>
      <w:pPr>
        <w:pStyle w:val="155"/>
        <w:spacing w:line="360" w:lineRule="auto"/>
        <w:ind w:firstLine="420" w:firstLineChars="200"/>
        <w:rPr>
          <w:bCs/>
          <w:color w:val="auto"/>
          <w:highlight w:val="none"/>
        </w:rPr>
      </w:pPr>
      <w:r>
        <w:rPr>
          <w:bCs/>
          <w:color w:val="auto"/>
          <w:highlight w:val="none"/>
        </w:rPr>
        <w:t>（l）为招标人不具有独立法人资格的附属机构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155"/>
        <w:spacing w:line="360" w:lineRule="auto"/>
        <w:ind w:firstLine="420" w:firstLineChars="200"/>
        <w:rPr>
          <w:bCs/>
          <w:color w:val="auto"/>
          <w:highlight w:val="none"/>
        </w:rPr>
      </w:pPr>
      <w:r>
        <w:rPr>
          <w:bCs/>
          <w:color w:val="auto"/>
          <w:highlight w:val="none"/>
        </w:rPr>
        <w:t>（2）</w:t>
      </w:r>
      <w:r>
        <w:rPr>
          <w:rFonts w:hint="eastAsia" w:ascii="宋体" w:hAnsi="宋体"/>
          <w:bCs/>
          <w:color w:val="auto"/>
          <w:highlight w:val="none"/>
        </w:rPr>
        <w:t>为本招标项目的代建单位；</w:t>
      </w:r>
    </w:p>
    <w:p>
      <w:pPr>
        <w:pStyle w:val="155"/>
        <w:spacing w:line="360" w:lineRule="auto"/>
        <w:ind w:firstLine="420" w:firstLineChars="200"/>
        <w:rPr>
          <w:bCs/>
          <w:color w:val="auto"/>
          <w:highlight w:val="none"/>
        </w:rPr>
      </w:pPr>
      <w:r>
        <w:rPr>
          <w:bCs/>
          <w:color w:val="auto"/>
          <w:highlight w:val="none"/>
        </w:rPr>
        <w:t>（3）为本招标项目的</w:t>
      </w:r>
      <w:r>
        <w:rPr>
          <w:rFonts w:hint="eastAsia"/>
          <w:bCs/>
          <w:color w:val="auto"/>
          <w:highlight w:val="none"/>
        </w:rPr>
        <w:t>项目管理单位</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（4）</w:t>
      </w:r>
      <w:r>
        <w:rPr>
          <w:rFonts w:ascii="宋体" w:hAnsi="宋体"/>
          <w:bCs/>
          <w:color w:val="auto"/>
          <w:highlight w:val="none"/>
        </w:rPr>
        <w:t>为本招标项目的</w:t>
      </w:r>
      <w:r>
        <w:rPr>
          <w:rFonts w:hint="eastAsia" w:ascii="宋体" w:hAnsi="宋体"/>
          <w:bCs/>
          <w:color w:val="auto"/>
          <w:highlight w:val="none"/>
        </w:rPr>
        <w:t>监理单位</w:t>
      </w:r>
      <w:r>
        <w:rPr>
          <w:rFonts w:ascii="宋体" w:hAnsi="宋体"/>
          <w:bCs/>
          <w:color w:val="auto"/>
          <w:highlight w:val="none"/>
        </w:rPr>
        <w:t>；</w:t>
      </w:r>
    </w:p>
    <w:p>
      <w:pPr>
        <w:pStyle w:val="155"/>
        <w:spacing w:line="360" w:lineRule="auto"/>
        <w:ind w:firstLine="420" w:firstLineChars="200"/>
        <w:rPr>
          <w:bCs/>
          <w:color w:val="auto"/>
          <w:highlight w:val="none"/>
        </w:rPr>
      </w:pPr>
      <w:r>
        <w:rPr>
          <w:rFonts w:hint="eastAsia"/>
          <w:bCs/>
          <w:color w:val="auto"/>
          <w:highlight w:val="none"/>
        </w:rPr>
        <w:t>（5）</w:t>
      </w:r>
      <w:r>
        <w:rPr>
          <w:bCs/>
          <w:color w:val="auto"/>
          <w:highlight w:val="none"/>
        </w:rPr>
        <w:t>为本招标项目的</w:t>
      </w:r>
      <w:r>
        <w:rPr>
          <w:rFonts w:hint="eastAsia"/>
          <w:bCs/>
          <w:color w:val="auto"/>
          <w:highlight w:val="none"/>
        </w:rPr>
        <w:t>造价咨询单位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6</w:t>
      </w:r>
      <w:r>
        <w:rPr>
          <w:bCs/>
          <w:color w:val="auto"/>
          <w:highlight w:val="none"/>
        </w:rPr>
        <w:t>）为本招标项目的招标代理</w:t>
      </w:r>
      <w:r>
        <w:rPr>
          <w:rFonts w:hint="eastAsia"/>
          <w:bCs/>
          <w:color w:val="auto"/>
          <w:highlight w:val="none"/>
        </w:rPr>
        <w:t>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7</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同为一个法定代表人的；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8</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相互控股或参股的；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9</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相互任职或工作的；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10</w:t>
      </w:r>
      <w:r>
        <w:rPr>
          <w:bCs/>
          <w:color w:val="auto"/>
          <w:highlight w:val="none"/>
        </w:rPr>
        <w:t>）被责令停业的；</w:t>
      </w:r>
    </w:p>
    <w:p>
      <w:pPr>
        <w:pStyle w:val="155"/>
        <w:spacing w:line="360" w:lineRule="auto"/>
        <w:ind w:firstLine="420" w:firstLineChars="200"/>
        <w:rPr>
          <w:bCs/>
          <w:color w:val="auto"/>
          <w:sz w:val="18"/>
          <w:szCs w:val="18"/>
          <w:highlight w:val="none"/>
        </w:rPr>
      </w:pPr>
      <w:r>
        <w:rPr>
          <w:bCs/>
          <w:color w:val="auto"/>
          <w:highlight w:val="none"/>
        </w:rPr>
        <w:t>（</w:t>
      </w:r>
      <w:r>
        <w:rPr>
          <w:rFonts w:hint="eastAsia"/>
          <w:bCs/>
          <w:color w:val="auto"/>
          <w:highlight w:val="none"/>
        </w:rPr>
        <w:t>11</w:t>
      </w:r>
      <w:r>
        <w:rPr>
          <w:bCs/>
          <w:color w:val="auto"/>
          <w:highlight w:val="none"/>
        </w:rPr>
        <w:t>）被住房城乡建设主管部门取消参加本地区依法必须招标项目投标资格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（12）与招标人存在利害关系可能影响招标公正性的法人、其他组织或者个人；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（13）单位负责人为同一人或者存在控股、管理关系的不同单位参加同一标段或者未划分标段的同一招标项目投标的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（14）</w:t>
      </w:r>
      <w:r>
        <w:rPr>
          <w:bCs/>
          <w:color w:val="auto"/>
          <w:highlight w:val="none"/>
        </w:rPr>
        <w:t>法律、法规规定的其他情形。</w:t>
      </w:r>
    </w:p>
    <w:p>
      <w:pPr>
        <w:pStyle w:val="5"/>
        <w:rPr>
          <w:rFonts w:hint="eastAsia" w:ascii="Times New Roman" w:hAnsi="Times New Roman" w:eastAsia="黑体"/>
          <w:b w:val="0"/>
          <w:bCs w:val="0"/>
          <w:color w:val="auto"/>
          <w:sz w:val="24"/>
          <w:highlight w:val="none"/>
        </w:rPr>
      </w:pPr>
      <w:bookmarkStart w:id="84" w:name="_Toc300678005"/>
      <w:r>
        <w:rPr>
          <w:rFonts w:ascii="Times New Roman" w:hAnsi="Times New Roman" w:eastAsia="黑体"/>
          <w:b w:val="0"/>
          <w:bCs w:val="0"/>
          <w:color w:val="auto"/>
          <w:sz w:val="24"/>
          <w:highlight w:val="none"/>
        </w:rPr>
        <w:t>1.5 费用承担</w:t>
      </w:r>
      <w:bookmarkEnd w:id="84"/>
      <w:r>
        <w:rPr>
          <w:rFonts w:hint="eastAsia" w:ascii="Times New Roman" w:hAnsi="Times New Roman" w:eastAsia="黑体"/>
          <w:b w:val="0"/>
          <w:bCs w:val="0"/>
          <w:color w:val="auto"/>
          <w:sz w:val="24"/>
          <w:highlight w:val="none"/>
        </w:rPr>
        <w:t>和设计成果补偿</w:t>
      </w:r>
    </w:p>
    <w:p>
      <w:pPr>
        <w:pStyle w:val="155"/>
        <w:spacing w:line="360" w:lineRule="auto"/>
        <w:ind w:firstLine="420" w:firstLineChars="200"/>
        <w:rPr>
          <w:rFonts w:hint="eastAsia"/>
          <w:color w:val="auto"/>
          <w:highlight w:val="none"/>
        </w:rPr>
      </w:pPr>
      <w:r>
        <w:rPr>
          <w:rFonts w:hint="eastAsia"/>
          <w:color w:val="auto"/>
          <w:highlight w:val="none"/>
        </w:rPr>
        <w:t>1.5.1</w:t>
      </w:r>
      <w:r>
        <w:rPr>
          <w:color w:val="auto"/>
          <w:highlight w:val="none"/>
        </w:rPr>
        <w:t>投标人准备和参加投标活动发生的费用自理。</w:t>
      </w:r>
    </w:p>
    <w:p>
      <w:pPr>
        <w:spacing w:line="400" w:lineRule="exact"/>
        <w:ind w:firstLine="420" w:firstLineChars="200"/>
        <w:rPr>
          <w:color w:val="auto"/>
          <w:highlight w:val="none"/>
        </w:rPr>
      </w:pPr>
      <w:r>
        <w:rPr>
          <w:rFonts w:hint="eastAsia"/>
          <w:color w:val="auto"/>
          <w:highlight w:val="none"/>
        </w:rPr>
        <w:t>1.5.2 招标人对符合招标文件规定的未中标人的设计成果进行补偿的，按投标人须知前附表规定给予补偿，并有权免费使用未中标人设计成果。</w:t>
      </w:r>
    </w:p>
    <w:p>
      <w:pPr>
        <w:pStyle w:val="5"/>
        <w:rPr>
          <w:rFonts w:ascii="Times New Roman" w:hAnsi="Times New Roman" w:eastAsia="黑体"/>
          <w:b w:val="0"/>
          <w:bCs w:val="0"/>
          <w:color w:val="auto"/>
          <w:sz w:val="24"/>
          <w:highlight w:val="none"/>
        </w:rPr>
      </w:pPr>
      <w:bookmarkStart w:id="85" w:name="_Toc300678006"/>
      <w:r>
        <w:rPr>
          <w:rFonts w:ascii="Times New Roman" w:hAnsi="Times New Roman" w:eastAsia="黑体"/>
          <w:b w:val="0"/>
          <w:bCs w:val="0"/>
          <w:color w:val="auto"/>
          <w:sz w:val="24"/>
          <w:highlight w:val="none"/>
        </w:rPr>
        <w:t>1.6 保密</w:t>
      </w:r>
      <w:bookmarkEnd w:id="85"/>
    </w:p>
    <w:p>
      <w:pPr>
        <w:pStyle w:val="155"/>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5"/>
        <w:rPr>
          <w:rFonts w:ascii="Times New Roman" w:hAnsi="Times New Roman" w:eastAsia="黑体"/>
          <w:b w:val="0"/>
          <w:bCs w:val="0"/>
          <w:color w:val="auto"/>
          <w:sz w:val="24"/>
          <w:highlight w:val="none"/>
        </w:rPr>
      </w:pPr>
      <w:bookmarkStart w:id="86" w:name="_Toc300678007"/>
      <w:r>
        <w:rPr>
          <w:rFonts w:ascii="Times New Roman" w:hAnsi="Times New Roman" w:eastAsia="黑体"/>
          <w:b w:val="0"/>
          <w:bCs w:val="0"/>
          <w:color w:val="auto"/>
          <w:sz w:val="24"/>
          <w:highlight w:val="none"/>
        </w:rPr>
        <w:t>1.7 语言文字</w:t>
      </w:r>
      <w:bookmarkEnd w:id="86"/>
    </w:p>
    <w:p>
      <w:pPr>
        <w:pStyle w:val="155"/>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5"/>
        <w:rPr>
          <w:rFonts w:ascii="Times New Roman" w:hAnsi="Times New Roman" w:eastAsia="黑体"/>
          <w:b w:val="0"/>
          <w:bCs w:val="0"/>
          <w:color w:val="auto"/>
          <w:sz w:val="24"/>
          <w:highlight w:val="none"/>
        </w:rPr>
      </w:pPr>
      <w:bookmarkStart w:id="87" w:name="_Toc300678008"/>
      <w:r>
        <w:rPr>
          <w:rFonts w:ascii="Times New Roman" w:hAnsi="Times New Roman" w:eastAsia="黑体"/>
          <w:b w:val="0"/>
          <w:bCs w:val="0"/>
          <w:color w:val="auto"/>
          <w:sz w:val="24"/>
          <w:highlight w:val="none"/>
        </w:rPr>
        <w:t>1.8 计量单位</w:t>
      </w:r>
      <w:bookmarkEnd w:id="87"/>
    </w:p>
    <w:p>
      <w:pPr>
        <w:pStyle w:val="155"/>
        <w:spacing w:line="360" w:lineRule="auto"/>
        <w:ind w:firstLine="420" w:firstLineChars="200"/>
        <w:rPr>
          <w:color w:val="auto"/>
          <w:highlight w:val="none"/>
        </w:rPr>
      </w:pPr>
      <w:r>
        <w:rPr>
          <w:color w:val="auto"/>
          <w:highlight w:val="none"/>
        </w:rPr>
        <w:t>所有计量均采用中华人民共和国法定计量单位。</w:t>
      </w:r>
    </w:p>
    <w:p>
      <w:pPr>
        <w:pStyle w:val="5"/>
        <w:rPr>
          <w:rFonts w:ascii="Times New Roman" w:hAnsi="Times New Roman" w:eastAsia="黑体"/>
          <w:b w:val="0"/>
          <w:bCs w:val="0"/>
          <w:color w:val="auto"/>
          <w:sz w:val="24"/>
          <w:highlight w:val="none"/>
        </w:rPr>
      </w:pPr>
      <w:bookmarkStart w:id="88" w:name="_Toc300678009"/>
      <w:r>
        <w:rPr>
          <w:rFonts w:ascii="Times New Roman" w:hAnsi="Times New Roman" w:eastAsia="黑体"/>
          <w:b w:val="0"/>
          <w:bCs w:val="0"/>
          <w:color w:val="auto"/>
          <w:sz w:val="24"/>
          <w:highlight w:val="none"/>
        </w:rPr>
        <w:t>1.9 踏勘现场</w:t>
      </w:r>
      <w:bookmarkEnd w:id="88"/>
    </w:p>
    <w:p>
      <w:pPr>
        <w:pStyle w:val="155"/>
        <w:spacing w:line="360" w:lineRule="auto"/>
        <w:ind w:firstLine="420" w:firstLineChars="200"/>
        <w:rPr>
          <w:color w:val="auto"/>
          <w:highlight w:val="none"/>
        </w:rPr>
      </w:pPr>
      <w:r>
        <w:rPr>
          <w:color w:val="auto"/>
          <w:highlight w:val="none"/>
        </w:rPr>
        <w:t>1.9.1  按投标人须知前附表的规定执行。</w:t>
      </w:r>
    </w:p>
    <w:p>
      <w:pPr>
        <w:pStyle w:val="155"/>
        <w:spacing w:line="360" w:lineRule="auto"/>
        <w:ind w:firstLine="420" w:firstLineChars="200"/>
        <w:rPr>
          <w:color w:val="auto"/>
          <w:highlight w:val="none"/>
        </w:rPr>
      </w:pPr>
      <w:r>
        <w:rPr>
          <w:color w:val="auto"/>
          <w:highlight w:val="none"/>
        </w:rPr>
        <w:t>1.9.2  投标人踏勘现场发生的费用自理。</w:t>
      </w:r>
    </w:p>
    <w:p>
      <w:pPr>
        <w:pStyle w:val="155"/>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155"/>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5"/>
        <w:rPr>
          <w:rFonts w:ascii="Times New Roman" w:hAnsi="Times New Roman" w:eastAsia="黑体"/>
          <w:b w:val="0"/>
          <w:bCs w:val="0"/>
          <w:color w:val="auto"/>
          <w:sz w:val="24"/>
          <w:highlight w:val="none"/>
        </w:rPr>
      </w:pPr>
      <w:bookmarkStart w:id="89" w:name="_Toc300678011"/>
      <w:r>
        <w:rPr>
          <w:rFonts w:ascii="Times New Roman" w:hAnsi="Times New Roman" w:eastAsia="黑体"/>
          <w:b w:val="0"/>
          <w:bCs w:val="0"/>
          <w:color w:val="auto"/>
          <w:sz w:val="24"/>
          <w:highlight w:val="none"/>
        </w:rPr>
        <w:t>1.10 分包</w:t>
      </w:r>
      <w:bookmarkEnd w:id="89"/>
    </w:p>
    <w:p>
      <w:pPr>
        <w:pStyle w:val="155"/>
        <w:spacing w:line="360" w:lineRule="auto"/>
        <w:ind w:firstLine="420" w:firstLineChars="200"/>
        <w:rPr>
          <w:rFonts w:hint="eastAsia" w:eastAsia="宋体"/>
          <w:color w:val="auto"/>
          <w:highlight w:val="none"/>
          <w:lang w:val="en-US" w:eastAsia="zh-CN"/>
        </w:rPr>
      </w:pPr>
      <w:r>
        <w:rPr>
          <w:rFonts w:hint="eastAsia"/>
          <w:color w:val="auto"/>
          <w:highlight w:val="none"/>
        </w:rPr>
        <w:t>1.1</w:t>
      </w:r>
      <w:r>
        <w:rPr>
          <w:color w:val="auto"/>
          <w:highlight w:val="none"/>
        </w:rPr>
        <w:t>0</w:t>
      </w:r>
      <w:r>
        <w:rPr>
          <w:rFonts w:hint="eastAsia"/>
          <w:color w:val="auto"/>
          <w:highlight w:val="none"/>
        </w:rPr>
        <w:t>.1 投标人须知前附表规定应当由分包人实施的非主体、非关键性工作，投标人应当按照第五章“发包人要求”的规定提供分包人</w:t>
      </w:r>
      <w:r>
        <w:rPr>
          <w:rFonts w:hint="eastAsia"/>
          <w:color w:val="auto"/>
          <w:highlight w:val="none"/>
          <w:lang w:val="en-US" w:eastAsia="zh-CN"/>
        </w:rPr>
        <w:t>候</w:t>
      </w:r>
      <w:r>
        <w:rPr>
          <w:rFonts w:hint="eastAsia"/>
          <w:color w:val="auto"/>
          <w:highlight w:val="none"/>
        </w:rPr>
        <w:t>选名单及其相应资料。</w:t>
      </w:r>
    </w:p>
    <w:p>
      <w:pPr>
        <w:pStyle w:val="155"/>
        <w:spacing w:line="360" w:lineRule="auto"/>
        <w:ind w:firstLine="420" w:firstLineChars="200"/>
        <w:rPr>
          <w:color w:val="auto"/>
          <w:highlight w:val="none"/>
        </w:rPr>
      </w:pPr>
      <w:r>
        <w:rPr>
          <w:rFonts w:hint="eastAsia"/>
          <w:color w:val="auto"/>
          <w:highlight w:val="none"/>
        </w:rPr>
        <w:t>1.1</w:t>
      </w:r>
      <w:r>
        <w:rPr>
          <w:color w:val="auto"/>
          <w:highlight w:val="none"/>
        </w:rPr>
        <w:t>0</w:t>
      </w:r>
      <w:r>
        <w:rPr>
          <w:rFonts w:hint="eastAsia"/>
          <w:color w:val="auto"/>
          <w:highlight w:val="none"/>
        </w:rPr>
        <w:t>.2 投标人拟在中标后将中标项目的部分非主体、非关键性工作进行分包的，应符合投标人须知前附表规定的分包内容、分包金额和资质要求等限制性条件。</w:t>
      </w:r>
    </w:p>
    <w:p>
      <w:pPr>
        <w:pStyle w:val="5"/>
        <w:rPr>
          <w:rFonts w:ascii="Times New Roman" w:hAnsi="Times New Roman" w:eastAsia="黑体"/>
          <w:b w:val="0"/>
          <w:bCs w:val="0"/>
          <w:color w:val="auto"/>
          <w:sz w:val="24"/>
          <w:highlight w:val="none"/>
        </w:rPr>
      </w:pPr>
      <w:bookmarkStart w:id="90" w:name="_Toc300678012"/>
      <w:r>
        <w:rPr>
          <w:rFonts w:ascii="Times New Roman" w:hAnsi="Times New Roman" w:eastAsia="黑体"/>
          <w:b w:val="0"/>
          <w:bCs w:val="0"/>
          <w:color w:val="auto"/>
          <w:sz w:val="24"/>
          <w:highlight w:val="none"/>
        </w:rPr>
        <w:t>1.11 偏离</w:t>
      </w:r>
      <w:bookmarkEnd w:id="90"/>
    </w:p>
    <w:p>
      <w:pPr>
        <w:pStyle w:val="155"/>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4"/>
        <w:keepNext/>
        <w:keepLines/>
        <w:widowControl w:val="0"/>
        <w:jc w:val="left"/>
        <w:rPr>
          <w:rFonts w:eastAsia="黑体"/>
          <w:b w:val="0"/>
          <w:bCs w:val="0"/>
          <w:color w:val="auto"/>
          <w:sz w:val="28"/>
          <w:szCs w:val="28"/>
          <w:highlight w:val="none"/>
        </w:rPr>
      </w:pPr>
      <w:bookmarkStart w:id="91" w:name="_Toc300678013"/>
      <w:bookmarkStart w:id="92" w:name="_Toc9178519"/>
      <w:bookmarkStart w:id="93" w:name="_Toc69199909"/>
      <w:r>
        <w:rPr>
          <w:rFonts w:eastAsia="黑体"/>
          <w:b w:val="0"/>
          <w:bCs w:val="0"/>
          <w:color w:val="auto"/>
          <w:sz w:val="28"/>
          <w:szCs w:val="28"/>
          <w:highlight w:val="none"/>
        </w:rPr>
        <w:t>2.招标文件</w:t>
      </w:r>
      <w:bookmarkEnd w:id="91"/>
      <w:bookmarkEnd w:id="92"/>
      <w:bookmarkEnd w:id="93"/>
    </w:p>
    <w:p>
      <w:pPr>
        <w:pStyle w:val="5"/>
        <w:rPr>
          <w:rFonts w:ascii="Times New Roman" w:hAnsi="Times New Roman" w:eastAsia="黑体"/>
          <w:b w:val="0"/>
          <w:bCs w:val="0"/>
          <w:color w:val="auto"/>
          <w:sz w:val="24"/>
          <w:highlight w:val="none"/>
        </w:rPr>
      </w:pPr>
      <w:bookmarkStart w:id="94" w:name="_Toc300678014"/>
      <w:r>
        <w:rPr>
          <w:rFonts w:ascii="Times New Roman" w:hAnsi="Times New Roman" w:eastAsia="黑体"/>
          <w:b w:val="0"/>
          <w:bCs w:val="0"/>
          <w:color w:val="auto"/>
          <w:sz w:val="24"/>
          <w:highlight w:val="none"/>
        </w:rPr>
        <w:t>2.1 招标文件的组成</w:t>
      </w:r>
      <w:bookmarkEnd w:id="94"/>
    </w:p>
    <w:p>
      <w:pPr>
        <w:pStyle w:val="155"/>
        <w:spacing w:line="360" w:lineRule="auto"/>
        <w:ind w:firstLine="420" w:firstLineChars="200"/>
        <w:rPr>
          <w:color w:val="auto"/>
          <w:highlight w:val="none"/>
        </w:rPr>
      </w:pPr>
      <w:r>
        <w:rPr>
          <w:color w:val="auto"/>
          <w:highlight w:val="none"/>
        </w:rPr>
        <w:t>本招标文件包括：</w:t>
      </w:r>
    </w:p>
    <w:p>
      <w:pPr>
        <w:pStyle w:val="155"/>
        <w:spacing w:line="360" w:lineRule="auto"/>
        <w:ind w:firstLine="420" w:firstLineChars="200"/>
        <w:rPr>
          <w:color w:val="auto"/>
          <w:highlight w:val="none"/>
        </w:rPr>
      </w:pPr>
      <w:r>
        <w:rPr>
          <w:color w:val="auto"/>
          <w:highlight w:val="none"/>
        </w:rPr>
        <w:t xml:space="preserve">（1）招标公告（或投标邀请书）； </w:t>
      </w:r>
    </w:p>
    <w:p>
      <w:pPr>
        <w:pStyle w:val="155"/>
        <w:spacing w:line="360" w:lineRule="auto"/>
        <w:ind w:firstLine="420" w:firstLineChars="200"/>
        <w:rPr>
          <w:color w:val="auto"/>
          <w:highlight w:val="none"/>
        </w:rPr>
      </w:pPr>
      <w:r>
        <w:rPr>
          <w:color w:val="auto"/>
          <w:highlight w:val="none"/>
        </w:rPr>
        <w:t>（2）投标人须知；</w:t>
      </w:r>
    </w:p>
    <w:p>
      <w:pPr>
        <w:pStyle w:val="155"/>
        <w:spacing w:line="360" w:lineRule="auto"/>
        <w:ind w:firstLine="420" w:firstLineChars="200"/>
        <w:rPr>
          <w:color w:val="auto"/>
          <w:highlight w:val="none"/>
        </w:rPr>
      </w:pPr>
      <w:r>
        <w:rPr>
          <w:color w:val="auto"/>
          <w:highlight w:val="none"/>
        </w:rPr>
        <w:t>（3）评标办法；</w:t>
      </w:r>
    </w:p>
    <w:p>
      <w:pPr>
        <w:pStyle w:val="155"/>
        <w:spacing w:line="360" w:lineRule="auto"/>
        <w:ind w:firstLine="420" w:firstLineChars="200"/>
        <w:rPr>
          <w:color w:val="auto"/>
          <w:highlight w:val="none"/>
        </w:rPr>
      </w:pPr>
      <w:r>
        <w:rPr>
          <w:color w:val="auto"/>
          <w:highlight w:val="none"/>
        </w:rPr>
        <w:t>（4）合同条款及格式；</w:t>
      </w:r>
    </w:p>
    <w:p>
      <w:pPr>
        <w:pStyle w:val="155"/>
        <w:spacing w:line="360" w:lineRule="auto"/>
        <w:ind w:firstLine="420" w:firstLineChars="200"/>
        <w:rPr>
          <w:color w:val="auto"/>
          <w:highlight w:val="none"/>
        </w:rPr>
      </w:pPr>
      <w:r>
        <w:rPr>
          <w:color w:val="auto"/>
          <w:highlight w:val="none"/>
        </w:rPr>
        <w:t>（5）</w:t>
      </w:r>
      <w:r>
        <w:rPr>
          <w:rFonts w:hint="eastAsia"/>
          <w:color w:val="auto"/>
          <w:highlight w:val="none"/>
        </w:rPr>
        <w:t>发包人要求</w:t>
      </w:r>
      <w:r>
        <w:rPr>
          <w:color w:val="auto"/>
          <w:highlight w:val="none"/>
        </w:rPr>
        <w:t>；</w:t>
      </w:r>
    </w:p>
    <w:p>
      <w:pPr>
        <w:pStyle w:val="155"/>
        <w:spacing w:line="360" w:lineRule="auto"/>
        <w:ind w:firstLine="420" w:firstLineChars="200"/>
        <w:rPr>
          <w:color w:val="auto"/>
          <w:highlight w:val="none"/>
        </w:rPr>
      </w:pPr>
      <w:r>
        <w:rPr>
          <w:color w:val="auto"/>
          <w:highlight w:val="none"/>
        </w:rPr>
        <w:t>（6）</w:t>
      </w:r>
      <w:r>
        <w:rPr>
          <w:rFonts w:hint="eastAsia"/>
          <w:color w:val="auto"/>
          <w:highlight w:val="none"/>
        </w:rPr>
        <w:t>发包人提供的资料和条件</w:t>
      </w:r>
      <w:r>
        <w:rPr>
          <w:color w:val="auto"/>
          <w:highlight w:val="none"/>
        </w:rPr>
        <w:t>；</w:t>
      </w:r>
    </w:p>
    <w:p>
      <w:pPr>
        <w:pStyle w:val="155"/>
        <w:spacing w:line="360" w:lineRule="auto"/>
        <w:ind w:firstLine="420" w:firstLineChars="200"/>
        <w:rPr>
          <w:color w:val="auto"/>
          <w:highlight w:val="none"/>
        </w:rPr>
      </w:pPr>
      <w:r>
        <w:rPr>
          <w:color w:val="auto"/>
          <w:highlight w:val="none"/>
        </w:rPr>
        <w:t>（7）投标文件格式；</w:t>
      </w:r>
    </w:p>
    <w:p>
      <w:pPr>
        <w:pStyle w:val="155"/>
        <w:widowControl w:val="0"/>
        <w:spacing w:line="360" w:lineRule="auto"/>
        <w:ind w:firstLine="420" w:firstLineChars="200"/>
        <w:rPr>
          <w:color w:val="auto"/>
          <w:highlight w:val="none"/>
        </w:rPr>
      </w:pPr>
      <w:r>
        <w:rPr>
          <w:color w:val="auto"/>
          <w:highlight w:val="none"/>
        </w:rPr>
        <w:t>（8）投标人须知前附表规定的其他材料。</w:t>
      </w:r>
    </w:p>
    <w:p>
      <w:pPr>
        <w:pStyle w:val="155"/>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5"/>
        <w:rPr>
          <w:rFonts w:ascii="Times New Roman" w:hAnsi="Times New Roman" w:eastAsia="黑体"/>
          <w:b w:val="0"/>
          <w:bCs w:val="0"/>
          <w:color w:val="auto"/>
          <w:sz w:val="24"/>
          <w:highlight w:val="none"/>
        </w:rPr>
      </w:pPr>
      <w:bookmarkStart w:id="95" w:name="_Toc300678015"/>
      <w:r>
        <w:rPr>
          <w:rFonts w:ascii="Times New Roman" w:hAnsi="Times New Roman" w:eastAsia="黑体"/>
          <w:b w:val="0"/>
          <w:bCs w:val="0"/>
          <w:color w:val="auto"/>
          <w:sz w:val="24"/>
          <w:highlight w:val="none"/>
        </w:rPr>
        <w:t>2.2 招标文件的澄清</w:t>
      </w:r>
      <w:bookmarkEnd w:id="95"/>
      <w:r>
        <w:rPr>
          <w:rFonts w:ascii="Times New Roman" w:hAnsi="Times New Roman" w:eastAsia="黑体"/>
          <w:b w:val="0"/>
          <w:bCs w:val="0"/>
          <w:color w:val="auto"/>
          <w:sz w:val="24"/>
          <w:highlight w:val="none"/>
        </w:rPr>
        <w:t>和修改</w:t>
      </w:r>
    </w:p>
    <w:p>
      <w:pPr>
        <w:pStyle w:val="155"/>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155"/>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155"/>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4"/>
        <w:keepLines/>
        <w:widowControl w:val="0"/>
        <w:jc w:val="left"/>
        <w:rPr>
          <w:rFonts w:eastAsia="黑体"/>
          <w:b w:val="0"/>
          <w:bCs w:val="0"/>
          <w:color w:val="auto"/>
          <w:sz w:val="28"/>
          <w:szCs w:val="28"/>
          <w:highlight w:val="none"/>
        </w:rPr>
      </w:pPr>
      <w:bookmarkStart w:id="96" w:name="_Toc9178520"/>
      <w:bookmarkStart w:id="97" w:name="_Toc300678017"/>
      <w:bookmarkStart w:id="98" w:name="_Toc69199910"/>
      <w:r>
        <w:rPr>
          <w:rFonts w:eastAsia="黑体"/>
          <w:b w:val="0"/>
          <w:bCs w:val="0"/>
          <w:color w:val="auto"/>
          <w:sz w:val="28"/>
          <w:szCs w:val="28"/>
          <w:highlight w:val="none"/>
        </w:rPr>
        <w:t>3.投标文件</w:t>
      </w:r>
      <w:bookmarkEnd w:id="96"/>
      <w:bookmarkEnd w:id="97"/>
      <w:bookmarkEnd w:id="98"/>
    </w:p>
    <w:p>
      <w:pPr>
        <w:pStyle w:val="5"/>
        <w:rPr>
          <w:rFonts w:ascii="Times New Roman" w:hAnsi="Times New Roman" w:eastAsia="黑体"/>
          <w:b w:val="0"/>
          <w:bCs w:val="0"/>
          <w:color w:val="auto"/>
          <w:sz w:val="24"/>
          <w:highlight w:val="none"/>
        </w:rPr>
      </w:pPr>
      <w:bookmarkStart w:id="99" w:name="_Toc300678018"/>
      <w:r>
        <w:rPr>
          <w:rFonts w:ascii="Times New Roman" w:hAnsi="Times New Roman" w:eastAsia="黑体"/>
          <w:b w:val="0"/>
          <w:bCs w:val="0"/>
          <w:color w:val="auto"/>
          <w:sz w:val="24"/>
          <w:highlight w:val="none"/>
        </w:rPr>
        <w:t>3.1 投标文件的组成</w:t>
      </w:r>
      <w:bookmarkEnd w:id="99"/>
    </w:p>
    <w:p>
      <w:pPr>
        <w:pStyle w:val="155"/>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w:t>
      </w:r>
      <w:r>
        <w:rPr>
          <w:rFonts w:hint="eastAsia"/>
          <w:color w:val="auto"/>
          <w:highlight w:val="none"/>
        </w:rPr>
        <w:t>技术方案</w:t>
      </w:r>
      <w:r>
        <w:rPr>
          <w:color w:val="auto"/>
          <w:highlight w:val="none"/>
        </w:rPr>
        <w:t>三部分内容</w:t>
      </w:r>
      <w:r>
        <w:rPr>
          <w:rFonts w:hint="eastAsia"/>
          <w:color w:val="auto"/>
          <w:highlight w:val="none"/>
        </w:rPr>
        <w:t>以及投标人须知前附表规定的其他资料</w:t>
      </w:r>
      <w:r>
        <w:rPr>
          <w:color w:val="auto"/>
          <w:highlight w:val="none"/>
        </w:rPr>
        <w:t>组成，具体内容详见第</w:t>
      </w:r>
      <w:r>
        <w:rPr>
          <w:rFonts w:hint="eastAsia"/>
          <w:color w:val="auto"/>
          <w:highlight w:val="none"/>
        </w:rPr>
        <w:t>七</w:t>
      </w:r>
      <w:r>
        <w:rPr>
          <w:color w:val="auto"/>
          <w:highlight w:val="none"/>
        </w:rPr>
        <w:t>章投标文件格式。</w:t>
      </w:r>
    </w:p>
    <w:p>
      <w:pPr>
        <w:pStyle w:val="155"/>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pPr>
        <w:pStyle w:val="5"/>
        <w:rPr>
          <w:rFonts w:ascii="Times New Roman" w:hAnsi="Times New Roman" w:eastAsia="黑体"/>
          <w:b w:val="0"/>
          <w:bCs w:val="0"/>
          <w:color w:val="auto"/>
          <w:sz w:val="24"/>
          <w:highlight w:val="none"/>
        </w:rPr>
      </w:pPr>
      <w:bookmarkStart w:id="100" w:name="_Toc300678019"/>
      <w:r>
        <w:rPr>
          <w:rFonts w:ascii="Times New Roman" w:hAnsi="Times New Roman" w:eastAsia="黑体"/>
          <w:b w:val="0"/>
          <w:bCs w:val="0"/>
          <w:color w:val="auto"/>
          <w:sz w:val="24"/>
          <w:highlight w:val="none"/>
        </w:rPr>
        <w:t>3.2 投标报价</w:t>
      </w:r>
      <w:bookmarkEnd w:id="100"/>
    </w:p>
    <w:p>
      <w:pPr>
        <w:spacing w:line="400" w:lineRule="exact"/>
        <w:ind w:firstLine="420" w:firstLineChars="200"/>
        <w:rPr>
          <w:rFonts w:hint="eastAsia"/>
          <w:color w:val="auto"/>
          <w:highlight w:val="none"/>
        </w:rPr>
      </w:pPr>
      <w:r>
        <w:rPr>
          <w:rFonts w:hint="eastAsia"/>
          <w:color w:val="auto"/>
          <w:highlight w:val="none"/>
        </w:rPr>
        <w:t>3.2.1 投标人应按第七章“投标文件格式”的要求填写投标报价。</w:t>
      </w:r>
    </w:p>
    <w:p>
      <w:pPr>
        <w:spacing w:line="440" w:lineRule="exact"/>
        <w:ind w:firstLine="420" w:firstLineChars="200"/>
        <w:rPr>
          <w:rFonts w:hint="eastAsia"/>
          <w:color w:val="auto"/>
          <w:szCs w:val="21"/>
          <w:highlight w:val="none"/>
        </w:rPr>
      </w:pPr>
      <w:r>
        <w:rPr>
          <w:rFonts w:hint="eastAsia"/>
          <w:color w:val="auto"/>
          <w:highlight w:val="none"/>
        </w:rPr>
        <w:t xml:space="preserve">3.2.2 </w:t>
      </w:r>
      <w:r>
        <w:rPr>
          <w:rFonts w:hint="eastAsia"/>
          <w:color w:val="auto"/>
          <w:szCs w:val="21"/>
          <w:highlight w:val="none"/>
        </w:rPr>
        <w:t>投标人应充分了解施工场地的</w:t>
      </w:r>
      <w:r>
        <w:rPr>
          <w:color w:val="auto"/>
          <w:szCs w:val="21"/>
          <w:highlight w:val="none"/>
        </w:rPr>
        <w:t>位置、周边</w:t>
      </w:r>
      <w:r>
        <w:rPr>
          <w:rFonts w:hint="eastAsia"/>
          <w:color w:val="auto"/>
          <w:szCs w:val="21"/>
          <w:highlight w:val="none"/>
        </w:rPr>
        <w:t>环境</w:t>
      </w:r>
      <w:r>
        <w:rPr>
          <w:color w:val="auto"/>
          <w:szCs w:val="21"/>
          <w:highlight w:val="none"/>
        </w:rPr>
        <w:t>、道路、装卸、保管、安装限制</w:t>
      </w:r>
      <w:r>
        <w:rPr>
          <w:rFonts w:hint="eastAsia"/>
          <w:color w:val="auto"/>
          <w:szCs w:val="21"/>
          <w:highlight w:val="none"/>
        </w:rPr>
        <w:t>以</w:t>
      </w:r>
      <w:r>
        <w:rPr>
          <w:color w:val="auto"/>
          <w:szCs w:val="21"/>
          <w:highlight w:val="none"/>
        </w:rPr>
        <w:t>及影响</w:t>
      </w:r>
      <w:r>
        <w:rPr>
          <w:rFonts w:hint="eastAsia"/>
          <w:color w:val="auto"/>
          <w:szCs w:val="21"/>
          <w:highlight w:val="none"/>
        </w:rPr>
        <w:t>投标报价的其他要素。投标人</w:t>
      </w:r>
      <w:r>
        <w:rPr>
          <w:color w:val="auto"/>
          <w:szCs w:val="21"/>
          <w:highlight w:val="none"/>
        </w:rPr>
        <w:t>根据</w:t>
      </w:r>
      <w:r>
        <w:rPr>
          <w:rFonts w:hint="eastAsia"/>
          <w:color w:val="auto"/>
          <w:szCs w:val="21"/>
          <w:highlight w:val="none"/>
        </w:rPr>
        <w:t>投标</w:t>
      </w:r>
      <w:r>
        <w:rPr>
          <w:color w:val="auto"/>
          <w:szCs w:val="21"/>
          <w:highlight w:val="none"/>
        </w:rPr>
        <w:t>设计</w:t>
      </w:r>
      <w:r>
        <w:rPr>
          <w:rFonts w:hint="eastAsia"/>
          <w:color w:val="auto"/>
          <w:szCs w:val="21"/>
          <w:highlight w:val="none"/>
        </w:rPr>
        <w:t>，结合</w:t>
      </w:r>
      <w:r>
        <w:rPr>
          <w:color w:val="auto"/>
          <w:szCs w:val="21"/>
          <w:highlight w:val="none"/>
        </w:rPr>
        <w:t>市场情况进行投标报价。</w:t>
      </w:r>
    </w:p>
    <w:p>
      <w:pPr>
        <w:spacing w:line="400" w:lineRule="exact"/>
        <w:ind w:firstLine="420" w:firstLineChars="200"/>
        <w:rPr>
          <w:rFonts w:hint="eastAsia"/>
          <w:color w:val="auto"/>
          <w:highlight w:val="none"/>
        </w:rPr>
      </w:pPr>
      <w:r>
        <w:rPr>
          <w:rFonts w:hint="eastAsia"/>
          <w:color w:val="auto"/>
          <w:highlight w:val="none"/>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rPr>
          <w:color w:val="auto"/>
          <w:highlight w:val="none"/>
        </w:rPr>
      </w:pPr>
      <w:r>
        <w:rPr>
          <w:rFonts w:hint="eastAsia"/>
          <w:color w:val="auto"/>
          <w:highlight w:val="none"/>
        </w:rPr>
        <w:t>3.2.4 招标人设有最高投标限价的，投标人的投标报价不得超过最高投标限价，最高投标限价和其计算方法在投标人须知前附表中载明。</w:t>
      </w:r>
    </w:p>
    <w:p>
      <w:pPr>
        <w:spacing w:line="400" w:lineRule="exact"/>
        <w:ind w:firstLine="420" w:firstLineChars="200"/>
        <w:rPr>
          <w:rFonts w:hint="eastAsia"/>
          <w:color w:val="auto"/>
          <w:highlight w:val="none"/>
        </w:rPr>
      </w:pPr>
      <w:r>
        <w:rPr>
          <w:rFonts w:hint="eastAsia"/>
          <w:color w:val="auto"/>
          <w:highlight w:val="none"/>
        </w:rPr>
        <w:t>3</w:t>
      </w:r>
      <w:r>
        <w:rPr>
          <w:color w:val="auto"/>
          <w:highlight w:val="none"/>
        </w:rPr>
        <w:t xml:space="preserve">.2.5 </w:t>
      </w:r>
      <w:r>
        <w:rPr>
          <w:rFonts w:hint="eastAsia"/>
          <w:color w:val="auto"/>
          <w:highlight w:val="none"/>
        </w:rPr>
        <w:t>投标报价的其他要求见投标人须知前附表。</w:t>
      </w:r>
    </w:p>
    <w:p>
      <w:pPr>
        <w:pStyle w:val="5"/>
        <w:rPr>
          <w:rFonts w:ascii="Times New Roman" w:hAnsi="Times New Roman" w:eastAsia="黑体"/>
          <w:b w:val="0"/>
          <w:bCs w:val="0"/>
          <w:color w:val="auto"/>
          <w:sz w:val="24"/>
          <w:highlight w:val="none"/>
        </w:rPr>
      </w:pPr>
      <w:bookmarkStart w:id="101" w:name="_Toc300678020"/>
      <w:r>
        <w:rPr>
          <w:rFonts w:ascii="Times New Roman" w:hAnsi="Times New Roman" w:eastAsia="黑体"/>
          <w:b w:val="0"/>
          <w:bCs w:val="0"/>
          <w:color w:val="auto"/>
          <w:sz w:val="24"/>
          <w:highlight w:val="none"/>
        </w:rPr>
        <w:t>3.3 投标有效期</w:t>
      </w:r>
      <w:bookmarkEnd w:id="101"/>
    </w:p>
    <w:p>
      <w:pPr>
        <w:pStyle w:val="155"/>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155"/>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5"/>
        <w:rPr>
          <w:rFonts w:ascii="Times New Roman" w:hAnsi="Times New Roman" w:eastAsia="黑体"/>
          <w:b w:val="0"/>
          <w:bCs w:val="0"/>
          <w:color w:val="auto"/>
          <w:sz w:val="24"/>
          <w:highlight w:val="none"/>
        </w:rPr>
      </w:pPr>
      <w:bookmarkStart w:id="102" w:name="_Toc300678021"/>
      <w:r>
        <w:rPr>
          <w:rFonts w:ascii="Times New Roman" w:hAnsi="Times New Roman" w:eastAsia="黑体"/>
          <w:b w:val="0"/>
          <w:bCs w:val="0"/>
          <w:color w:val="auto"/>
          <w:sz w:val="24"/>
          <w:highlight w:val="none"/>
        </w:rPr>
        <w:t>3.4 投标保证</w:t>
      </w:r>
      <w:bookmarkEnd w:id="102"/>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155"/>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155"/>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155"/>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155"/>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155"/>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snapToGrid w:val="0"/>
        <w:spacing w:line="360" w:lineRule="auto"/>
        <w:ind w:firstLine="482" w:firstLineChars="200"/>
        <w:rPr>
          <w:rFonts w:eastAsia="黑体"/>
          <w:b/>
          <w:bCs/>
          <w:color w:val="auto"/>
          <w:sz w:val="24"/>
          <w:highlight w:val="none"/>
        </w:rPr>
      </w:pPr>
      <w:bookmarkStart w:id="103" w:name="_Toc300678022"/>
      <w:r>
        <w:rPr>
          <w:rFonts w:eastAsia="黑体"/>
          <w:b/>
          <w:bCs/>
          <w:color w:val="auto"/>
          <w:sz w:val="24"/>
          <w:highlight w:val="none"/>
        </w:rPr>
        <w:t>3.5资格审查资料</w:t>
      </w:r>
      <w:bookmarkEnd w:id="103"/>
      <w:bookmarkStart w:id="104" w:name="_Toc300678023"/>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采用资格预审方式的，</w:t>
      </w:r>
      <w:bookmarkEnd w:id="104"/>
      <w:r>
        <w:rPr>
          <w:rFonts w:ascii="宋体" w:hAnsi="宋体"/>
          <w:color w:val="auto"/>
          <w:szCs w:val="21"/>
          <w:highlight w:val="none"/>
        </w:rPr>
        <w:t xml:space="preserve"> 投标人在编制投标文件时，应</w:t>
      </w:r>
      <w:r>
        <w:rPr>
          <w:rFonts w:hint="eastAsia" w:ascii="宋体" w:hAnsi="宋体"/>
          <w:color w:val="auto"/>
          <w:szCs w:val="21"/>
          <w:highlight w:val="none"/>
        </w:rPr>
        <w:t>按新情况</w:t>
      </w:r>
      <w:r>
        <w:rPr>
          <w:rFonts w:ascii="宋体" w:hAnsi="宋体"/>
          <w:color w:val="auto"/>
          <w:szCs w:val="21"/>
          <w:highlight w:val="none"/>
        </w:rPr>
        <w:t>更新或补充其在申请资格预审时提供的资料，以证实其</w:t>
      </w:r>
      <w:r>
        <w:rPr>
          <w:rFonts w:hint="eastAsia" w:ascii="宋体" w:hAnsi="宋体"/>
          <w:color w:val="auto"/>
          <w:szCs w:val="21"/>
          <w:highlight w:val="none"/>
        </w:rPr>
        <w:t>各项</w:t>
      </w:r>
      <w:r>
        <w:rPr>
          <w:rFonts w:ascii="宋体" w:hAnsi="宋体"/>
          <w:color w:val="auto"/>
          <w:szCs w:val="21"/>
          <w:highlight w:val="none"/>
        </w:rPr>
        <w:t>资格条件</w:t>
      </w:r>
      <w:r>
        <w:rPr>
          <w:rFonts w:hint="eastAsia" w:ascii="宋体" w:hAnsi="宋体"/>
          <w:color w:val="auto"/>
          <w:szCs w:val="21"/>
          <w:highlight w:val="none"/>
        </w:rPr>
        <w:t>仍能</w:t>
      </w:r>
      <w:r>
        <w:rPr>
          <w:rFonts w:ascii="宋体" w:hAnsi="宋体"/>
          <w:color w:val="auto"/>
          <w:szCs w:val="21"/>
          <w:highlight w:val="none"/>
        </w:rPr>
        <w:t>继续满足资格预审文件的要求，具备承担本招标项目的资质条件、能力和信誉。</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采用资格后审方式的，</w:t>
      </w:r>
      <w:r>
        <w:rPr>
          <w:rFonts w:hint="eastAsia" w:ascii="宋体" w:hAnsi="宋体"/>
          <w:color w:val="auto"/>
          <w:szCs w:val="21"/>
          <w:highlight w:val="none"/>
        </w:rPr>
        <w:t>按照本须知第1</w:t>
      </w:r>
      <w:r>
        <w:rPr>
          <w:rFonts w:ascii="宋体" w:hAnsi="宋体"/>
          <w:color w:val="auto"/>
          <w:szCs w:val="21"/>
          <w:highlight w:val="none"/>
        </w:rPr>
        <w:t>.4.1</w:t>
      </w:r>
      <w:r>
        <w:rPr>
          <w:rFonts w:hint="eastAsia" w:ascii="宋体" w:hAnsi="宋体"/>
          <w:color w:val="auto"/>
          <w:szCs w:val="21"/>
          <w:highlight w:val="none"/>
        </w:rPr>
        <w:t>项的规定提交资格审查资料，</w:t>
      </w:r>
      <w:r>
        <w:rPr>
          <w:rFonts w:ascii="宋体" w:hAnsi="宋体"/>
          <w:color w:val="auto"/>
          <w:szCs w:val="21"/>
          <w:highlight w:val="none"/>
        </w:rPr>
        <w:t>具体要求详见第</w:t>
      </w:r>
      <w:r>
        <w:rPr>
          <w:rFonts w:hint="eastAsia" w:ascii="宋体" w:hAnsi="宋体"/>
          <w:color w:val="auto"/>
          <w:szCs w:val="21"/>
          <w:highlight w:val="none"/>
        </w:rPr>
        <w:t>七</w:t>
      </w:r>
      <w:r>
        <w:rPr>
          <w:rFonts w:ascii="宋体" w:hAnsi="宋体"/>
          <w:color w:val="auto"/>
          <w:szCs w:val="21"/>
          <w:highlight w:val="none"/>
        </w:rPr>
        <w:t>章“投标文件</w:t>
      </w:r>
      <w:r>
        <w:rPr>
          <w:rFonts w:hint="eastAsia" w:ascii="宋体" w:hAnsi="宋体"/>
          <w:color w:val="auto"/>
          <w:szCs w:val="21"/>
          <w:highlight w:val="none"/>
        </w:rPr>
        <w:t>—投标函</w:t>
      </w:r>
      <w:r>
        <w:rPr>
          <w:rFonts w:hint="eastAsia" w:ascii="宋体" w:hAnsi="宋体"/>
          <w:color w:val="auto"/>
          <w:szCs w:val="21"/>
          <w:highlight w:val="none"/>
          <w:lang w:val="en-US" w:eastAsia="zh-CN"/>
        </w:rPr>
        <w:t>及附录</w:t>
      </w:r>
      <w:r>
        <w:rPr>
          <w:rFonts w:ascii="宋体" w:hAnsi="宋体"/>
          <w:color w:val="auto"/>
          <w:szCs w:val="21"/>
          <w:highlight w:val="none"/>
        </w:rPr>
        <w:t>格式”。</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155"/>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Times New Roman" w:hAnsi="Times New Roman" w:eastAsia="黑体"/>
          <w:b w:val="0"/>
          <w:bCs w:val="0"/>
          <w:color w:val="auto"/>
          <w:sz w:val="24"/>
          <w:highlight w:val="none"/>
        </w:rPr>
      </w:pPr>
      <w:bookmarkStart w:id="105" w:name="_Toc300678025"/>
      <w:r>
        <w:rPr>
          <w:rFonts w:ascii="Times New Roman" w:hAnsi="Times New Roman" w:eastAsia="黑体"/>
          <w:b w:val="0"/>
          <w:bCs w:val="0"/>
          <w:color w:val="auto"/>
          <w:sz w:val="24"/>
          <w:highlight w:val="none"/>
        </w:rPr>
        <w:t>3.7 投标文件的编制</w:t>
      </w:r>
      <w:bookmarkEnd w:id="105"/>
    </w:p>
    <w:p>
      <w:pPr>
        <w:pStyle w:val="155"/>
        <w:widowControl w:val="0"/>
        <w:spacing w:line="360" w:lineRule="auto"/>
        <w:ind w:firstLine="420" w:firstLineChars="200"/>
        <w:rPr>
          <w:color w:val="auto"/>
          <w:highlight w:val="none"/>
        </w:rPr>
      </w:pPr>
      <w:r>
        <w:rPr>
          <w:color w:val="auto"/>
          <w:highlight w:val="none"/>
        </w:rPr>
        <w:t>3.7.1  投标文件应按第</w:t>
      </w:r>
      <w:r>
        <w:rPr>
          <w:rFonts w:hint="eastAsia"/>
          <w:color w:val="auto"/>
          <w:highlight w:val="none"/>
        </w:rPr>
        <w:t>七</w:t>
      </w:r>
      <w:r>
        <w:rPr>
          <w:color w:val="auto"/>
          <w:highlight w:val="none"/>
        </w:rPr>
        <w:t>章“投标文件格式”编写。可以增加附页，作为投标文件的组成部分。其中，投标函附录在满足招标文件实质性要求的基础上，可以提出比招标文件要求更有利于招标人的承诺。</w:t>
      </w:r>
    </w:p>
    <w:p>
      <w:pPr>
        <w:pStyle w:val="155"/>
        <w:widowControl w:val="0"/>
        <w:spacing w:line="360" w:lineRule="auto"/>
        <w:ind w:firstLine="420" w:firstLineChars="200"/>
        <w:rPr>
          <w:color w:val="auto"/>
          <w:highlight w:val="none"/>
        </w:rPr>
      </w:pPr>
      <w:r>
        <w:rPr>
          <w:color w:val="auto"/>
          <w:highlight w:val="none"/>
        </w:rPr>
        <w:t>3.7.2  投标文件应当对招标文件有关工期、投标有效期、质量要求、</w:t>
      </w:r>
      <w:r>
        <w:rPr>
          <w:rFonts w:hint="eastAsia"/>
          <w:color w:val="auto"/>
          <w:highlight w:val="none"/>
        </w:rPr>
        <w:t>发包人</w:t>
      </w:r>
      <w:r>
        <w:rPr>
          <w:color w:val="auto"/>
          <w:highlight w:val="none"/>
        </w:rPr>
        <w:t>要求、招标范围等内容作出实质性响应。</w:t>
      </w:r>
    </w:p>
    <w:p>
      <w:pPr>
        <w:pStyle w:val="155"/>
        <w:spacing w:line="360" w:lineRule="auto"/>
        <w:ind w:firstLine="420" w:firstLineChars="200"/>
        <w:rPr>
          <w:rFonts w:hint="eastAsia"/>
          <w:color w:val="auto"/>
          <w:highlight w:val="none"/>
        </w:rPr>
      </w:pPr>
      <w:r>
        <w:rPr>
          <w:color w:val="auto"/>
          <w:highlight w:val="none"/>
        </w:rPr>
        <w:t xml:space="preserve">3.7.3  </w:t>
      </w:r>
      <w:bookmarkStart w:id="106" w:name="_Toc300678026"/>
      <w:bookmarkStart w:id="107" w:name="_Toc9178521"/>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155"/>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155"/>
        <w:widowControl w:val="0"/>
        <w:spacing w:line="360" w:lineRule="auto"/>
        <w:ind w:firstLine="562" w:firstLineChars="200"/>
        <w:rPr>
          <w:rFonts w:eastAsia="黑体"/>
          <w:b/>
          <w:bCs/>
          <w:color w:val="auto"/>
          <w:sz w:val="28"/>
          <w:szCs w:val="28"/>
          <w:highlight w:val="none"/>
        </w:rPr>
      </w:pPr>
      <w:r>
        <w:rPr>
          <w:rFonts w:eastAsia="黑体"/>
          <w:b/>
          <w:bCs/>
          <w:color w:val="auto"/>
          <w:sz w:val="28"/>
          <w:szCs w:val="28"/>
          <w:highlight w:val="none"/>
        </w:rPr>
        <w:t>4.投标</w:t>
      </w:r>
      <w:bookmarkEnd w:id="106"/>
      <w:bookmarkEnd w:id="107"/>
    </w:p>
    <w:p>
      <w:pPr>
        <w:pStyle w:val="5"/>
        <w:rPr>
          <w:rFonts w:ascii="Times New Roman" w:hAnsi="Times New Roman" w:eastAsia="黑体"/>
          <w:b w:val="0"/>
          <w:bCs w:val="0"/>
          <w:color w:val="auto"/>
          <w:sz w:val="24"/>
          <w:highlight w:val="none"/>
        </w:rPr>
      </w:pPr>
      <w:bookmarkStart w:id="108" w:name="_Toc300678027"/>
      <w:r>
        <w:rPr>
          <w:rFonts w:ascii="Times New Roman" w:hAnsi="Times New Roman" w:eastAsia="黑体"/>
          <w:b w:val="0"/>
          <w:bCs w:val="0"/>
          <w:color w:val="auto"/>
          <w:sz w:val="24"/>
          <w:highlight w:val="none"/>
        </w:rPr>
        <w:t>4.1 投标文件的密封和标记</w:t>
      </w:r>
      <w:bookmarkEnd w:id="108"/>
    </w:p>
    <w:p>
      <w:pPr>
        <w:pStyle w:val="155"/>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155"/>
        <w:widowControl w:val="0"/>
        <w:spacing w:line="360" w:lineRule="auto"/>
        <w:ind w:firstLine="420" w:firstLineChars="200"/>
        <w:rPr>
          <w:rFonts w:hint="eastAsia" w:ascii="宋体" w:hAnsi="宋体"/>
          <w:color w:val="auto"/>
          <w:highlight w:val="none"/>
        </w:rPr>
      </w:pPr>
      <w:r>
        <w:rPr>
          <w:color w:val="auto"/>
          <w:highlight w:val="none"/>
        </w:rPr>
        <w:t>4.1.2 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5"/>
        <w:rPr>
          <w:rFonts w:ascii="Times New Roman" w:hAnsi="Times New Roman" w:eastAsia="黑体"/>
          <w:b w:val="0"/>
          <w:bCs w:val="0"/>
          <w:color w:val="auto"/>
          <w:sz w:val="24"/>
          <w:highlight w:val="none"/>
        </w:rPr>
      </w:pPr>
      <w:bookmarkStart w:id="109" w:name="_Toc300678028"/>
      <w:r>
        <w:rPr>
          <w:rFonts w:ascii="Times New Roman" w:hAnsi="Times New Roman" w:eastAsia="黑体"/>
          <w:b w:val="0"/>
          <w:bCs w:val="0"/>
          <w:color w:val="auto"/>
          <w:sz w:val="24"/>
          <w:highlight w:val="none"/>
        </w:rPr>
        <w:t>4.2 投标文件的递交</w:t>
      </w:r>
      <w:bookmarkEnd w:id="109"/>
    </w:p>
    <w:p>
      <w:pPr>
        <w:pStyle w:val="155"/>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155"/>
        <w:widowControl w:val="0"/>
        <w:spacing w:line="360" w:lineRule="auto"/>
        <w:ind w:firstLine="420" w:firstLineChars="200"/>
        <w:rPr>
          <w:color w:val="auto"/>
          <w:highlight w:val="none"/>
        </w:rPr>
      </w:pPr>
      <w:r>
        <w:rPr>
          <w:color w:val="auto"/>
          <w:highlight w:val="none"/>
        </w:rPr>
        <w:t>4.2.2  投标人通过</w:t>
      </w:r>
      <w:r>
        <w:rPr>
          <w:rFonts w:hint="eastAsia"/>
          <w:color w:val="auto"/>
          <w:highlight w:val="none"/>
        </w:rPr>
        <w:t>电子招标投标交易平台</w:t>
      </w:r>
      <w:r>
        <w:rPr>
          <w:color w:val="auto"/>
          <w:highlight w:val="none"/>
        </w:rPr>
        <w:t>递交电子投标文件。</w:t>
      </w:r>
    </w:p>
    <w:p>
      <w:pPr>
        <w:pStyle w:val="155"/>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155"/>
        <w:widowControl w:val="0"/>
        <w:spacing w:line="360" w:lineRule="auto"/>
        <w:ind w:firstLine="420" w:firstLineChars="200"/>
        <w:rPr>
          <w:color w:val="auto"/>
          <w:highlight w:val="none"/>
        </w:rPr>
      </w:pPr>
      <w:r>
        <w:rPr>
          <w:color w:val="auto"/>
          <w:highlight w:val="none"/>
        </w:rPr>
        <w:t>4.2.4  逾期提交的投标文件，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155"/>
        <w:widowControl w:val="0"/>
        <w:spacing w:line="360" w:lineRule="auto"/>
        <w:ind w:firstLine="420" w:firstLineChars="200"/>
        <w:rPr>
          <w:color w:val="auto"/>
          <w:highlight w:val="none"/>
        </w:rPr>
      </w:pPr>
      <w:r>
        <w:rPr>
          <w:color w:val="auto"/>
          <w:highlight w:val="none"/>
        </w:rPr>
        <w:t>4.3.1  在投标人须知前附表规定的投标截止时间前，投标人可以修改或撤回已递交投标文件，但应以书面形式通知招标人。</w:t>
      </w:r>
    </w:p>
    <w:p>
      <w:pPr>
        <w:pStyle w:val="155"/>
        <w:widowControl w:val="0"/>
        <w:spacing w:line="360" w:lineRule="auto"/>
        <w:ind w:firstLine="420" w:firstLineChars="200"/>
        <w:rPr>
          <w:color w:val="auto"/>
          <w:highlight w:val="none"/>
        </w:rPr>
      </w:pPr>
      <w:r>
        <w:rPr>
          <w:color w:val="auto"/>
          <w:highlight w:val="none"/>
        </w:rPr>
        <w:t>4.3.2  投标人修改或撤回已递交投标文件的书面通知应按照本章第3.7.3 项的要求</w:t>
      </w:r>
      <w:r>
        <w:rPr>
          <w:rFonts w:hint="eastAsia"/>
          <w:color w:val="auto"/>
          <w:highlight w:val="none"/>
        </w:rPr>
        <w:t>加盖电子印章</w:t>
      </w:r>
      <w:r>
        <w:rPr>
          <w:color w:val="auto"/>
          <w:highlight w:val="none"/>
        </w:rPr>
        <w:t>。</w:t>
      </w:r>
      <w:r>
        <w:rPr>
          <w:rFonts w:hint="eastAsia"/>
          <w:color w:val="auto"/>
          <w:highlight w:val="none"/>
        </w:rPr>
        <w:t>电子招标投标交易平台收到通知后，即时向投标人发出确认回执通知。</w:t>
      </w:r>
    </w:p>
    <w:p>
      <w:pPr>
        <w:pStyle w:val="155"/>
        <w:widowControl w:val="0"/>
        <w:spacing w:line="360" w:lineRule="auto"/>
        <w:ind w:firstLine="420" w:firstLineChars="200"/>
        <w:rPr>
          <w:color w:val="auto"/>
          <w:highlight w:val="none"/>
        </w:rPr>
      </w:pPr>
      <w:r>
        <w:rPr>
          <w:color w:val="auto"/>
          <w:highlight w:val="none"/>
        </w:rPr>
        <w:t>4.3.3  修改的内容为投标文件的组成部分</w:t>
      </w:r>
      <w:r>
        <w:rPr>
          <w:rFonts w:hint="eastAsia"/>
          <w:color w:val="auto"/>
          <w:highlight w:val="none"/>
        </w:rPr>
        <w:t>的，</w:t>
      </w:r>
      <w:r>
        <w:rPr>
          <w:color w:val="auto"/>
          <w:highlight w:val="none"/>
        </w:rPr>
        <w:t>修改的投标文件应按照</w:t>
      </w:r>
      <w:r>
        <w:rPr>
          <w:rFonts w:hint="eastAsia"/>
          <w:color w:val="auto"/>
          <w:highlight w:val="none"/>
        </w:rPr>
        <w:t>本章</w:t>
      </w:r>
      <w:r>
        <w:rPr>
          <w:color w:val="auto"/>
          <w:highlight w:val="none"/>
        </w:rPr>
        <w:t>规定进行编制、密封、标记和递交，并标明“修改”字样。</w:t>
      </w:r>
    </w:p>
    <w:p>
      <w:pPr>
        <w:pStyle w:val="4"/>
        <w:keepLines/>
        <w:widowControl w:val="0"/>
        <w:jc w:val="left"/>
        <w:rPr>
          <w:rFonts w:eastAsia="黑体"/>
          <w:b w:val="0"/>
          <w:bCs w:val="0"/>
          <w:color w:val="auto"/>
          <w:sz w:val="28"/>
          <w:szCs w:val="28"/>
          <w:highlight w:val="none"/>
        </w:rPr>
      </w:pPr>
      <w:bookmarkStart w:id="110" w:name="_Toc300678029"/>
      <w:bookmarkStart w:id="111" w:name="_Toc9178522"/>
      <w:bookmarkStart w:id="112" w:name="_Toc69199911"/>
      <w:r>
        <w:rPr>
          <w:rFonts w:eastAsia="黑体"/>
          <w:b w:val="0"/>
          <w:bCs w:val="0"/>
          <w:color w:val="auto"/>
          <w:sz w:val="28"/>
          <w:szCs w:val="28"/>
          <w:highlight w:val="none"/>
        </w:rPr>
        <w:t>5.开标</w:t>
      </w:r>
      <w:bookmarkEnd w:id="110"/>
      <w:bookmarkEnd w:id="111"/>
      <w:bookmarkEnd w:id="112"/>
    </w:p>
    <w:p>
      <w:pPr>
        <w:pStyle w:val="5"/>
        <w:rPr>
          <w:rFonts w:ascii="Times New Roman" w:hAnsi="Times New Roman" w:eastAsia="黑体"/>
          <w:b w:val="0"/>
          <w:bCs w:val="0"/>
          <w:color w:val="auto"/>
          <w:sz w:val="24"/>
          <w:highlight w:val="none"/>
        </w:rPr>
      </w:pPr>
      <w:bookmarkStart w:id="113" w:name="_Toc300678030"/>
      <w:r>
        <w:rPr>
          <w:rFonts w:ascii="Times New Roman" w:hAnsi="Times New Roman" w:eastAsia="黑体"/>
          <w:b w:val="0"/>
          <w:bCs w:val="0"/>
          <w:color w:val="auto"/>
          <w:sz w:val="24"/>
          <w:highlight w:val="none"/>
        </w:rPr>
        <w:t>5.1 开标时间和地点</w:t>
      </w:r>
      <w:bookmarkEnd w:id="113"/>
    </w:p>
    <w:p>
      <w:pPr>
        <w:pStyle w:val="155"/>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），通过电子招标投标交易平台公开开标，所有投标人的法定代表人（单位负责人）或其委托代理人应当准时在线参加。</w:t>
      </w:r>
    </w:p>
    <w:p>
      <w:pPr>
        <w:pStyle w:val="5"/>
        <w:rPr>
          <w:rFonts w:ascii="Times New Roman" w:hAnsi="Times New Roman" w:eastAsia="黑体"/>
          <w:b w:val="0"/>
          <w:bCs w:val="0"/>
          <w:color w:val="auto"/>
          <w:sz w:val="24"/>
          <w:highlight w:val="none"/>
        </w:rPr>
      </w:pPr>
      <w:bookmarkStart w:id="114" w:name="_Toc300678031"/>
      <w:r>
        <w:rPr>
          <w:rFonts w:ascii="Times New Roman" w:hAnsi="Times New Roman" w:eastAsia="黑体"/>
          <w:b w:val="0"/>
          <w:bCs w:val="0"/>
          <w:color w:val="auto"/>
          <w:sz w:val="24"/>
          <w:highlight w:val="none"/>
        </w:rPr>
        <w:t>5.2 开标程序</w:t>
      </w:r>
      <w:bookmarkEnd w:id="114"/>
    </w:p>
    <w:p>
      <w:pPr>
        <w:pStyle w:val="155"/>
        <w:widowControl w:val="0"/>
        <w:spacing w:line="360" w:lineRule="auto"/>
        <w:ind w:firstLine="420" w:firstLineChars="200"/>
        <w:rPr>
          <w:color w:val="auto"/>
          <w:highlight w:val="none"/>
        </w:rPr>
      </w:pPr>
      <w:r>
        <w:rPr>
          <w:color w:val="auto"/>
          <w:highlight w:val="none"/>
        </w:rPr>
        <w:t>主持人按下列程序进行开标：</w:t>
      </w:r>
    </w:p>
    <w:p>
      <w:pPr>
        <w:pStyle w:val="155"/>
        <w:widowControl w:val="0"/>
        <w:spacing w:line="360" w:lineRule="auto"/>
        <w:ind w:firstLine="420" w:firstLineChars="200"/>
        <w:rPr>
          <w:color w:val="auto"/>
          <w:highlight w:val="none"/>
        </w:rPr>
      </w:pPr>
      <w:r>
        <w:rPr>
          <w:color w:val="auto"/>
          <w:highlight w:val="none"/>
        </w:rPr>
        <w:t>（l）宣布开标纪律；</w:t>
      </w:r>
    </w:p>
    <w:p>
      <w:pPr>
        <w:pStyle w:val="155"/>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155"/>
        <w:widowControl w:val="0"/>
        <w:spacing w:line="360" w:lineRule="auto"/>
        <w:ind w:firstLine="420" w:firstLineChars="200"/>
        <w:rPr>
          <w:color w:val="auto"/>
          <w:highlight w:val="none"/>
        </w:rPr>
      </w:pPr>
      <w:r>
        <w:rPr>
          <w:color w:val="auto"/>
          <w:highlight w:val="none"/>
        </w:rPr>
        <w:t>（3）宣布开标人、监督人等有关人员姓名；</w:t>
      </w:r>
    </w:p>
    <w:p>
      <w:pPr>
        <w:pStyle w:val="155"/>
        <w:spacing w:line="360" w:lineRule="auto"/>
        <w:ind w:firstLine="420" w:firstLineChars="200"/>
        <w:rPr>
          <w:color w:val="auto"/>
          <w:highlight w:val="none"/>
        </w:rPr>
      </w:pPr>
      <w:r>
        <w:rPr>
          <w:color w:val="auto"/>
          <w:highlight w:val="none"/>
        </w:rPr>
        <w:t>（</w:t>
      </w:r>
      <w:r>
        <w:rPr>
          <w:rFonts w:hint="eastAsia"/>
          <w:color w:val="auto"/>
          <w:highlight w:val="none"/>
        </w:rPr>
        <w:t>4</w:t>
      </w:r>
      <w:r>
        <w:rPr>
          <w:color w:val="auto"/>
          <w:highlight w:val="none"/>
        </w:rPr>
        <w:t>）由招标人在开标现场随机抽取</w:t>
      </w:r>
      <w:r>
        <w:rPr>
          <w:rFonts w:hint="eastAsia"/>
          <w:color w:val="auto"/>
          <w:highlight w:val="none"/>
        </w:rPr>
        <w:t>α</w:t>
      </w:r>
      <w:r>
        <w:rPr>
          <w:rFonts w:hint="eastAsia"/>
          <w:color w:val="auto"/>
          <w:highlight w:val="none"/>
          <w:lang w:eastAsia="zh-CN"/>
        </w:rPr>
        <w:t>、β</w:t>
      </w:r>
      <w:r>
        <w:rPr>
          <w:rFonts w:hint="eastAsia"/>
          <w:color w:val="auto"/>
          <w:highlight w:val="none"/>
          <w:lang w:val="en-US" w:eastAsia="zh-CN"/>
        </w:rPr>
        <w:t>值</w:t>
      </w:r>
      <w:r>
        <w:rPr>
          <w:rFonts w:hint="eastAsia"/>
          <w:color w:val="auto"/>
          <w:highlight w:val="none"/>
        </w:rPr>
        <w:t>并记录在案</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bookmarkStart w:id="115" w:name="_Toc9178523"/>
      <w:bookmarkStart w:id="116" w:name="_Toc300678032"/>
      <w:r>
        <w:rPr>
          <w:rFonts w:hint="eastAsia"/>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7</w:t>
      </w:r>
      <w:r>
        <w:rPr>
          <w:color w:val="auto"/>
          <w:highlight w:val="none"/>
        </w:rPr>
        <w:t>）招标人在开标记录上确认；</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8</w:t>
      </w:r>
      <w:r>
        <w:rPr>
          <w:color w:val="auto"/>
          <w:highlight w:val="none"/>
        </w:rPr>
        <w:t>）开标结束。</w:t>
      </w:r>
    </w:p>
    <w:p>
      <w:pPr>
        <w:pStyle w:val="4"/>
        <w:keepLines/>
        <w:widowControl w:val="0"/>
        <w:jc w:val="left"/>
        <w:rPr>
          <w:rFonts w:eastAsia="黑体"/>
          <w:b w:val="0"/>
          <w:bCs w:val="0"/>
          <w:color w:val="auto"/>
          <w:sz w:val="28"/>
          <w:szCs w:val="28"/>
          <w:highlight w:val="none"/>
        </w:rPr>
      </w:pPr>
      <w:bookmarkStart w:id="117" w:name="_Toc69199912"/>
      <w:r>
        <w:rPr>
          <w:rFonts w:eastAsia="黑体"/>
          <w:b w:val="0"/>
          <w:bCs w:val="0"/>
          <w:color w:val="auto"/>
          <w:sz w:val="28"/>
          <w:szCs w:val="28"/>
          <w:highlight w:val="none"/>
        </w:rPr>
        <w:t>6.评标</w:t>
      </w:r>
      <w:bookmarkEnd w:id="115"/>
      <w:bookmarkEnd w:id="116"/>
      <w:bookmarkEnd w:id="117"/>
    </w:p>
    <w:p>
      <w:pPr>
        <w:pStyle w:val="5"/>
        <w:rPr>
          <w:rFonts w:hint="eastAsia" w:ascii="Times New Roman" w:hAnsi="Times New Roman" w:eastAsia="黑体"/>
          <w:b w:val="0"/>
          <w:bCs w:val="0"/>
          <w:color w:val="auto"/>
          <w:sz w:val="24"/>
          <w:highlight w:val="none"/>
        </w:rPr>
      </w:pPr>
      <w:bookmarkStart w:id="118" w:name="_Toc300678033"/>
      <w:r>
        <w:rPr>
          <w:rFonts w:ascii="Times New Roman" w:hAnsi="Times New Roman" w:eastAsia="黑体"/>
          <w:b w:val="0"/>
          <w:bCs w:val="0"/>
          <w:color w:val="auto"/>
          <w:sz w:val="24"/>
          <w:highlight w:val="none"/>
        </w:rPr>
        <w:t>6.1 评标委员会</w:t>
      </w:r>
      <w:bookmarkEnd w:id="118"/>
    </w:p>
    <w:p>
      <w:pPr>
        <w:pStyle w:val="155"/>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155"/>
        <w:widowControl w:val="0"/>
        <w:spacing w:line="360" w:lineRule="auto"/>
        <w:ind w:firstLine="420" w:firstLineChars="200"/>
        <w:rPr>
          <w:color w:val="auto"/>
          <w:highlight w:val="none"/>
        </w:rPr>
      </w:pPr>
      <w:r>
        <w:rPr>
          <w:color w:val="auto"/>
          <w:highlight w:val="none"/>
        </w:rPr>
        <w:t>6.1.2  有下列情形之一的，应当回避：</w:t>
      </w:r>
    </w:p>
    <w:p>
      <w:pPr>
        <w:pStyle w:val="155"/>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155"/>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155"/>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155"/>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155"/>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r>
        <w:rPr>
          <w:rFonts w:hint="eastAsia"/>
          <w:color w:val="auto"/>
          <w:highlight w:val="none"/>
        </w:rPr>
        <w:t>；</w:t>
      </w:r>
    </w:p>
    <w:p>
      <w:pPr>
        <w:pStyle w:val="155"/>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5"/>
        <w:rPr>
          <w:rFonts w:ascii="Times New Roman" w:hAnsi="Times New Roman" w:eastAsia="黑体"/>
          <w:b w:val="0"/>
          <w:bCs w:val="0"/>
          <w:color w:val="auto"/>
          <w:sz w:val="24"/>
          <w:highlight w:val="none"/>
        </w:rPr>
      </w:pPr>
      <w:bookmarkStart w:id="119" w:name="_Toc300678034"/>
      <w:r>
        <w:rPr>
          <w:rFonts w:ascii="Times New Roman" w:hAnsi="Times New Roman" w:eastAsia="黑体"/>
          <w:b w:val="0"/>
          <w:bCs w:val="0"/>
          <w:color w:val="auto"/>
          <w:sz w:val="24"/>
          <w:highlight w:val="none"/>
        </w:rPr>
        <w:t>6.2 评标原则</w:t>
      </w:r>
      <w:bookmarkEnd w:id="119"/>
    </w:p>
    <w:p>
      <w:pPr>
        <w:pStyle w:val="155"/>
        <w:widowControl w:val="0"/>
        <w:spacing w:line="360" w:lineRule="auto"/>
        <w:ind w:firstLine="420" w:firstLineChars="200"/>
        <w:rPr>
          <w:color w:val="auto"/>
          <w:highlight w:val="none"/>
        </w:rPr>
      </w:pPr>
      <w:r>
        <w:rPr>
          <w:color w:val="auto"/>
          <w:highlight w:val="none"/>
        </w:rPr>
        <w:t>评标活动遵循公平、公正、科学和择优的原则。</w:t>
      </w:r>
    </w:p>
    <w:p>
      <w:pPr>
        <w:pStyle w:val="5"/>
        <w:rPr>
          <w:rFonts w:ascii="Times New Roman" w:hAnsi="Times New Roman" w:eastAsia="黑体"/>
          <w:b w:val="0"/>
          <w:bCs w:val="0"/>
          <w:color w:val="auto"/>
          <w:sz w:val="24"/>
          <w:highlight w:val="none"/>
        </w:rPr>
      </w:pPr>
      <w:bookmarkStart w:id="120" w:name="_Toc300678035"/>
      <w:r>
        <w:rPr>
          <w:rFonts w:ascii="Times New Roman" w:hAnsi="Times New Roman" w:eastAsia="黑体"/>
          <w:b w:val="0"/>
          <w:bCs w:val="0"/>
          <w:color w:val="auto"/>
          <w:sz w:val="24"/>
          <w:highlight w:val="none"/>
        </w:rPr>
        <w:t>6.3 评标</w:t>
      </w:r>
      <w:bookmarkEnd w:id="120"/>
    </w:p>
    <w:p>
      <w:pPr>
        <w:pStyle w:val="155"/>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4"/>
        <w:keepLines/>
        <w:widowControl w:val="0"/>
        <w:jc w:val="left"/>
        <w:rPr>
          <w:rFonts w:eastAsia="黑体"/>
          <w:b w:val="0"/>
          <w:bCs w:val="0"/>
          <w:color w:val="auto"/>
          <w:sz w:val="28"/>
          <w:szCs w:val="28"/>
          <w:highlight w:val="none"/>
        </w:rPr>
      </w:pPr>
      <w:bookmarkStart w:id="121" w:name="_Toc300678036"/>
      <w:bookmarkStart w:id="122" w:name="_Toc9178524"/>
      <w:bookmarkStart w:id="123" w:name="_Toc69199913"/>
      <w:r>
        <w:rPr>
          <w:rFonts w:eastAsia="黑体"/>
          <w:b w:val="0"/>
          <w:bCs w:val="0"/>
          <w:color w:val="auto"/>
          <w:sz w:val="28"/>
          <w:szCs w:val="28"/>
          <w:highlight w:val="none"/>
        </w:rPr>
        <w:t>7.合同授予</w:t>
      </w:r>
      <w:bookmarkEnd w:id="121"/>
      <w:bookmarkEnd w:id="122"/>
      <w:bookmarkEnd w:id="123"/>
    </w:p>
    <w:p>
      <w:pPr>
        <w:pStyle w:val="5"/>
        <w:rPr>
          <w:rFonts w:ascii="Times New Roman" w:hAnsi="Times New Roman" w:eastAsia="黑体"/>
          <w:b w:val="0"/>
          <w:bCs w:val="0"/>
          <w:color w:val="auto"/>
          <w:sz w:val="24"/>
          <w:highlight w:val="none"/>
        </w:rPr>
      </w:pPr>
      <w:bookmarkStart w:id="124" w:name="_Toc300678037"/>
      <w:r>
        <w:rPr>
          <w:rFonts w:ascii="Times New Roman" w:hAnsi="Times New Roman" w:eastAsia="黑体"/>
          <w:b w:val="0"/>
          <w:bCs w:val="0"/>
          <w:color w:val="auto"/>
          <w:sz w:val="24"/>
          <w:highlight w:val="none"/>
        </w:rPr>
        <w:t>7.1 定标方式</w:t>
      </w:r>
      <w:bookmarkEnd w:id="124"/>
    </w:p>
    <w:p>
      <w:pPr>
        <w:spacing w:line="360" w:lineRule="auto"/>
        <w:ind w:firstLine="420" w:firstLineChars="200"/>
        <w:rPr>
          <w:color w:val="auto"/>
          <w:szCs w:val="21"/>
          <w:highlight w:val="none"/>
        </w:rPr>
      </w:pPr>
      <w:r>
        <w:rPr>
          <w:color w:val="auto"/>
          <w:szCs w:val="21"/>
          <w:highlight w:val="none"/>
        </w:rPr>
        <w:t>招标人依据评标委员会推荐的中标候选人确定中标人。评标委员会推荐中标候选人的数量以及招标人确定中标人的方式见投标人须知前附表。</w:t>
      </w:r>
      <w:bookmarkStart w:id="125" w:name="_Toc300678038"/>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7.2 中标通知</w:t>
      </w:r>
      <w:bookmarkEnd w:id="125"/>
    </w:p>
    <w:p>
      <w:pPr>
        <w:pStyle w:val="155"/>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5"/>
        <w:rPr>
          <w:rFonts w:ascii="Times New Roman" w:hAnsi="Times New Roman" w:eastAsia="黑体"/>
          <w:b w:val="0"/>
          <w:bCs w:val="0"/>
          <w:color w:val="auto"/>
          <w:sz w:val="24"/>
          <w:highlight w:val="none"/>
        </w:rPr>
      </w:pPr>
      <w:bookmarkStart w:id="126" w:name="_Toc300678039"/>
      <w:r>
        <w:rPr>
          <w:rFonts w:ascii="Times New Roman" w:hAnsi="Times New Roman" w:eastAsia="黑体"/>
          <w:b w:val="0"/>
          <w:bCs w:val="0"/>
          <w:color w:val="auto"/>
          <w:sz w:val="24"/>
          <w:highlight w:val="none"/>
        </w:rPr>
        <w:t>7.3 履约担保</w:t>
      </w:r>
      <w:bookmarkEnd w:id="126"/>
    </w:p>
    <w:p>
      <w:pPr>
        <w:pStyle w:val="155"/>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155"/>
        <w:widowControl w:val="0"/>
        <w:spacing w:line="360" w:lineRule="auto"/>
        <w:ind w:firstLine="420" w:firstLineChars="200"/>
        <w:rPr>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5"/>
        <w:rPr>
          <w:rFonts w:ascii="Times New Roman" w:hAnsi="Times New Roman" w:eastAsia="黑体"/>
          <w:b w:val="0"/>
          <w:bCs w:val="0"/>
          <w:color w:val="auto"/>
          <w:sz w:val="24"/>
          <w:highlight w:val="none"/>
        </w:rPr>
      </w:pPr>
      <w:bookmarkStart w:id="127" w:name="_Toc300678040"/>
      <w:r>
        <w:rPr>
          <w:rFonts w:ascii="Times New Roman" w:hAnsi="Times New Roman" w:eastAsia="黑体"/>
          <w:b w:val="0"/>
          <w:bCs w:val="0"/>
          <w:color w:val="auto"/>
          <w:sz w:val="24"/>
          <w:highlight w:val="none"/>
        </w:rPr>
        <w:t>7.4 签订合同</w:t>
      </w:r>
      <w:bookmarkEnd w:id="127"/>
    </w:p>
    <w:p>
      <w:pPr>
        <w:pStyle w:val="155"/>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155"/>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4"/>
        <w:keepLines/>
        <w:widowControl w:val="0"/>
        <w:jc w:val="left"/>
        <w:rPr>
          <w:rFonts w:eastAsia="黑体"/>
          <w:b w:val="0"/>
          <w:bCs w:val="0"/>
          <w:color w:val="auto"/>
          <w:sz w:val="28"/>
          <w:szCs w:val="28"/>
          <w:highlight w:val="none"/>
        </w:rPr>
      </w:pPr>
      <w:bookmarkStart w:id="128" w:name="_Toc300678041"/>
      <w:bookmarkStart w:id="129" w:name="_Toc69199914"/>
      <w:bookmarkStart w:id="130" w:name="_Toc9178525"/>
      <w:r>
        <w:rPr>
          <w:rFonts w:eastAsia="黑体"/>
          <w:b w:val="0"/>
          <w:bCs w:val="0"/>
          <w:color w:val="auto"/>
          <w:sz w:val="28"/>
          <w:szCs w:val="28"/>
          <w:highlight w:val="none"/>
        </w:rPr>
        <w:t>8.重新招标和不再招标</w:t>
      </w:r>
      <w:bookmarkEnd w:id="128"/>
      <w:bookmarkEnd w:id="129"/>
      <w:bookmarkEnd w:id="130"/>
    </w:p>
    <w:p>
      <w:pPr>
        <w:pStyle w:val="5"/>
        <w:rPr>
          <w:rFonts w:ascii="Times New Roman" w:hAnsi="Times New Roman" w:eastAsia="黑体"/>
          <w:b w:val="0"/>
          <w:bCs w:val="0"/>
          <w:color w:val="auto"/>
          <w:sz w:val="24"/>
          <w:highlight w:val="none"/>
        </w:rPr>
      </w:pPr>
      <w:bookmarkStart w:id="131" w:name="_Toc300678042"/>
      <w:r>
        <w:rPr>
          <w:rFonts w:ascii="Times New Roman" w:hAnsi="Times New Roman" w:eastAsia="黑体"/>
          <w:b w:val="0"/>
          <w:bCs w:val="0"/>
          <w:color w:val="auto"/>
          <w:sz w:val="24"/>
          <w:highlight w:val="none"/>
        </w:rPr>
        <w:t>8.1 重新招标</w:t>
      </w:r>
      <w:bookmarkEnd w:id="131"/>
    </w:p>
    <w:p>
      <w:pPr>
        <w:pStyle w:val="155"/>
        <w:widowControl w:val="0"/>
        <w:spacing w:line="360" w:lineRule="auto"/>
        <w:ind w:firstLine="420" w:firstLineChars="200"/>
        <w:rPr>
          <w:color w:val="auto"/>
          <w:highlight w:val="none"/>
        </w:rPr>
      </w:pPr>
      <w:r>
        <w:rPr>
          <w:color w:val="auto"/>
          <w:highlight w:val="none"/>
        </w:rPr>
        <w:t>有下列情形之一的，招标人将重新招标：</w:t>
      </w:r>
    </w:p>
    <w:p>
      <w:pPr>
        <w:pStyle w:val="155"/>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155"/>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155"/>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155"/>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155"/>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5"/>
        <w:rPr>
          <w:rFonts w:ascii="Times New Roman" w:hAnsi="Times New Roman" w:eastAsia="黑体"/>
          <w:b w:val="0"/>
          <w:bCs w:val="0"/>
          <w:color w:val="auto"/>
          <w:sz w:val="24"/>
          <w:highlight w:val="none"/>
        </w:rPr>
      </w:pPr>
      <w:bookmarkStart w:id="132" w:name="_Toc300678043"/>
      <w:r>
        <w:rPr>
          <w:rFonts w:ascii="Times New Roman" w:hAnsi="Times New Roman" w:eastAsia="黑体"/>
          <w:b w:val="0"/>
          <w:bCs w:val="0"/>
          <w:color w:val="auto"/>
          <w:sz w:val="24"/>
          <w:highlight w:val="none"/>
        </w:rPr>
        <w:t>8.2 不再招标</w:t>
      </w:r>
      <w:bookmarkEnd w:id="132"/>
    </w:p>
    <w:p>
      <w:pPr>
        <w:pStyle w:val="155"/>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4"/>
        <w:keepLines/>
        <w:widowControl w:val="0"/>
        <w:jc w:val="left"/>
        <w:rPr>
          <w:rFonts w:eastAsia="黑体"/>
          <w:b w:val="0"/>
          <w:bCs w:val="0"/>
          <w:color w:val="auto"/>
          <w:sz w:val="28"/>
          <w:szCs w:val="28"/>
          <w:highlight w:val="none"/>
        </w:rPr>
      </w:pPr>
      <w:bookmarkStart w:id="133" w:name="_Toc69199915"/>
      <w:bookmarkStart w:id="134" w:name="_Toc300678044"/>
      <w:bookmarkStart w:id="135" w:name="_Toc9178526"/>
      <w:r>
        <w:rPr>
          <w:rFonts w:eastAsia="黑体"/>
          <w:b w:val="0"/>
          <w:bCs w:val="0"/>
          <w:color w:val="auto"/>
          <w:sz w:val="28"/>
          <w:szCs w:val="28"/>
          <w:highlight w:val="none"/>
        </w:rPr>
        <w:t>9.纪律和监督</w:t>
      </w:r>
      <w:bookmarkEnd w:id="133"/>
      <w:bookmarkEnd w:id="134"/>
      <w:bookmarkEnd w:id="135"/>
    </w:p>
    <w:p>
      <w:pPr>
        <w:pStyle w:val="5"/>
        <w:rPr>
          <w:rFonts w:ascii="Times New Roman" w:hAnsi="Times New Roman" w:eastAsia="黑体"/>
          <w:b w:val="0"/>
          <w:bCs w:val="0"/>
          <w:color w:val="auto"/>
          <w:sz w:val="24"/>
          <w:highlight w:val="none"/>
        </w:rPr>
      </w:pPr>
      <w:bookmarkStart w:id="136" w:name="_Toc300678046"/>
      <w:r>
        <w:rPr>
          <w:rFonts w:ascii="Times New Roman" w:hAnsi="Times New Roman" w:eastAsia="黑体"/>
          <w:b w:val="0"/>
          <w:bCs w:val="0"/>
          <w:color w:val="auto"/>
          <w:sz w:val="24"/>
          <w:highlight w:val="none"/>
        </w:rPr>
        <w:t>9.1对投标人的纪律要求</w:t>
      </w:r>
      <w:bookmarkEnd w:id="136"/>
    </w:p>
    <w:p>
      <w:pPr>
        <w:pStyle w:val="155"/>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Times New Roman" w:hAnsi="Times New Roman" w:eastAsia="黑体"/>
          <w:b w:val="0"/>
          <w:bCs w:val="0"/>
          <w:color w:val="auto"/>
          <w:sz w:val="24"/>
          <w:highlight w:val="none"/>
        </w:rPr>
      </w:pPr>
      <w:bookmarkStart w:id="137" w:name="_Toc300678047"/>
      <w:r>
        <w:rPr>
          <w:rFonts w:ascii="Times New Roman" w:hAnsi="Times New Roman" w:eastAsia="黑体"/>
          <w:b w:val="0"/>
          <w:bCs w:val="0"/>
          <w:color w:val="auto"/>
          <w:sz w:val="24"/>
          <w:highlight w:val="none"/>
        </w:rPr>
        <w:t>9.2对评标委员会成员的纪律要求</w:t>
      </w:r>
      <w:bookmarkEnd w:id="137"/>
    </w:p>
    <w:p>
      <w:pPr>
        <w:pStyle w:val="155"/>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5"/>
        <w:rPr>
          <w:rFonts w:ascii="Times New Roman" w:hAnsi="Times New Roman" w:eastAsia="黑体"/>
          <w:b w:val="0"/>
          <w:bCs w:val="0"/>
          <w:color w:val="auto"/>
          <w:sz w:val="24"/>
          <w:highlight w:val="none"/>
        </w:rPr>
      </w:pPr>
      <w:bookmarkStart w:id="138"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38"/>
    </w:p>
    <w:p>
      <w:pPr>
        <w:pStyle w:val="155"/>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rPr>
          <w:rFonts w:hint="eastAsia" w:ascii="Calibri" w:hAnsi="Calibri"/>
          <w:b w:val="0"/>
          <w:color w:val="auto"/>
          <w:kern w:val="0"/>
          <w:szCs w:val="21"/>
          <w:highlight w:val="none"/>
        </w:rPr>
      </w:pPr>
      <w:bookmarkStart w:id="139"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39"/>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40" w:name="_Toc300678050"/>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155"/>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4"/>
        <w:keepLines/>
        <w:widowControl w:val="0"/>
        <w:jc w:val="left"/>
        <w:rPr>
          <w:rFonts w:eastAsia="黑体"/>
          <w:b w:val="0"/>
          <w:bCs w:val="0"/>
          <w:color w:val="auto"/>
          <w:sz w:val="28"/>
          <w:szCs w:val="28"/>
          <w:highlight w:val="none"/>
        </w:rPr>
      </w:pPr>
      <w:bookmarkStart w:id="141" w:name="_Toc69199916"/>
      <w:bookmarkStart w:id="142" w:name="_Toc9178527"/>
      <w:r>
        <w:rPr>
          <w:rFonts w:eastAsia="黑体"/>
          <w:b w:val="0"/>
          <w:bCs w:val="0"/>
          <w:color w:val="auto"/>
          <w:sz w:val="28"/>
          <w:szCs w:val="28"/>
          <w:highlight w:val="none"/>
        </w:rPr>
        <w:t>10.需要补充的其他内容</w:t>
      </w:r>
      <w:bookmarkEnd w:id="140"/>
      <w:bookmarkEnd w:id="141"/>
      <w:bookmarkEnd w:id="142"/>
    </w:p>
    <w:p>
      <w:pPr>
        <w:pStyle w:val="155"/>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43" w:name="_Toc300678051"/>
    </w:p>
    <w:p>
      <w:pPr>
        <w:spacing w:line="400" w:lineRule="exact"/>
        <w:rPr>
          <w:rStyle w:val="55"/>
          <w:rFonts w:ascii="Times New Roman" w:hAnsi="Times New Roman" w:eastAsia="黑体"/>
          <w:b w:val="0"/>
          <w:color w:val="auto"/>
          <w:sz w:val="24"/>
          <w:highlight w:val="none"/>
        </w:rPr>
        <w:sectPr>
          <w:footerReference r:id="rId7" w:type="even"/>
          <w:pgSz w:w="11907" w:h="16840"/>
          <w:pgMar w:top="1418" w:right="1418" w:bottom="1418" w:left="1418" w:header="851" w:footer="1020" w:gutter="0"/>
          <w:cols w:space="720" w:num="1"/>
          <w:docGrid w:linePitch="312" w:charSpace="0"/>
        </w:sectPr>
      </w:pPr>
    </w:p>
    <w:bookmarkEnd w:id="143"/>
    <w:p>
      <w:pPr>
        <w:snapToGrid w:val="0"/>
        <w:spacing w:line="360" w:lineRule="auto"/>
        <w:jc w:val="left"/>
        <w:rPr>
          <w:rStyle w:val="55"/>
          <w:rFonts w:ascii="Times New Roman" w:hAnsi="Times New Roman" w:eastAsia="黑体"/>
          <w:b w:val="0"/>
          <w:color w:val="auto"/>
          <w:sz w:val="24"/>
          <w:highlight w:val="none"/>
        </w:rPr>
      </w:pPr>
      <w:bookmarkStart w:id="144" w:name="_Toc300678057"/>
      <w:r>
        <w:rPr>
          <w:rStyle w:val="55"/>
          <w:rFonts w:ascii="Times New Roman" w:hAnsi="Times New Roman" w:eastAsia="黑体"/>
          <w:b w:val="0"/>
          <w:color w:val="auto"/>
          <w:sz w:val="24"/>
          <w:highlight w:val="none"/>
        </w:rPr>
        <w:t>附件2-1：电子投标文件编制及报送要求</w:t>
      </w:r>
      <w:bookmarkEnd w:id="144"/>
    </w:p>
    <w:p>
      <w:pPr>
        <w:spacing w:before="360" w:beforeLines="150" w:after="360"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spacing w:line="312" w:lineRule="auto"/>
        <w:ind w:firstLine="360" w:firstLineChars="200"/>
        <w:rPr>
          <w:color w:val="auto"/>
          <w:sz w:val="18"/>
          <w:szCs w:val="18"/>
          <w:highlight w:val="none"/>
        </w:rPr>
      </w:pPr>
      <w:r>
        <w:rPr>
          <w:rFonts w:hint="eastAsia"/>
          <w:color w:val="auto"/>
          <w:sz w:val="18"/>
          <w:szCs w:val="18"/>
          <w:highlight w:val="none"/>
        </w:rPr>
        <w:t>说明</w:t>
      </w:r>
      <w:r>
        <w:rPr>
          <w:color w:val="auto"/>
          <w:sz w:val="18"/>
          <w:szCs w:val="18"/>
          <w:highlight w:val="none"/>
        </w:rPr>
        <w:t>：采用计算机辅助评标，包括采用电子化招标投标的，本附表应当作为“投标人须知”的附件，由招标人根据各地和招标项目的具体情况给予规定。</w:t>
      </w:r>
    </w:p>
    <w:p>
      <w:pPr>
        <w:spacing w:line="312" w:lineRule="auto"/>
        <w:rPr>
          <w:rFonts w:ascii="Times New Roman" w:hAnsi="Times New Roman" w:eastAsia="黑体"/>
          <w:b w:val="0"/>
          <w:bCs w:val="0"/>
          <w:color w:val="auto"/>
          <w:sz w:val="24"/>
          <w:highlight w:val="none"/>
        </w:rPr>
      </w:pPr>
      <w:bookmarkStart w:id="145" w:name="_Toc300678058"/>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rFonts w:hint="default" w:eastAsia="宋体"/>
          <w:color w:val="auto"/>
          <w:szCs w:val="21"/>
          <w:highlight w:val="none"/>
          <w:lang w:val="en-US" w:eastAsia="zh-CN"/>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pPr>
        <w:adjustRightInd w:val="0"/>
        <w:snapToGrid w:val="0"/>
        <w:spacing w:line="360" w:lineRule="auto"/>
        <w:ind w:firstLine="420" w:firstLineChars="200"/>
        <w:rPr>
          <w:color w:val="auto"/>
          <w:szCs w:val="21"/>
          <w:highlight w:val="none"/>
        </w:rPr>
      </w:pPr>
      <w:r>
        <w:rPr>
          <w:color w:val="auto"/>
          <w:szCs w:val="21"/>
          <w:highlight w:val="none"/>
        </w:rPr>
        <w:t>投标人或其投标文件有下列情形之一的，其投标应当予以否决：</w:t>
      </w:r>
    </w:p>
    <w:p>
      <w:pPr>
        <w:adjustRightInd w:val="0"/>
        <w:snapToGrid w:val="0"/>
        <w:spacing w:line="360" w:lineRule="auto"/>
        <w:ind w:firstLine="420" w:firstLineChars="200"/>
        <w:rPr>
          <w:color w:val="auto"/>
          <w:szCs w:val="21"/>
          <w:highlight w:val="none"/>
        </w:rPr>
      </w:pPr>
      <w:r>
        <w:rPr>
          <w:color w:val="auto"/>
          <w:szCs w:val="21"/>
          <w:highlight w:val="none"/>
        </w:rPr>
        <w:t>1.1 有本章“投标人须知”第1.4.3项规定的任何一种情形的；</w:t>
      </w:r>
    </w:p>
    <w:p>
      <w:pPr>
        <w:adjustRightInd w:val="0"/>
        <w:snapToGrid w:val="0"/>
        <w:spacing w:line="360" w:lineRule="auto"/>
        <w:ind w:firstLine="420" w:firstLineChars="200"/>
        <w:rPr>
          <w:color w:val="auto"/>
          <w:szCs w:val="21"/>
          <w:highlight w:val="none"/>
        </w:rPr>
      </w:pPr>
      <w:r>
        <w:rPr>
          <w:color w:val="auto"/>
          <w:szCs w:val="21"/>
          <w:highlight w:val="none"/>
        </w:rPr>
        <w:t>1.2 投标人以他人名义投标、串通投标、以行贿手段谋取中标的；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3</w:t>
      </w:r>
      <w:r>
        <w:rPr>
          <w:color w:val="auto"/>
          <w:szCs w:val="21"/>
          <w:highlight w:val="none"/>
        </w:rPr>
        <w:t xml:space="preserve"> </w:t>
      </w:r>
      <w:r>
        <w:rPr>
          <w:rFonts w:hint="eastAsia"/>
          <w:color w:val="auto"/>
          <w:szCs w:val="21"/>
          <w:highlight w:val="none"/>
        </w:rPr>
        <w:t>投标人资格条件不符合国家有关规定或者招标文件要求的，或者拒不按照要求对投标文件</w:t>
      </w:r>
      <w:r>
        <w:rPr>
          <w:color w:val="auto"/>
          <w:szCs w:val="21"/>
          <w:highlight w:val="none"/>
        </w:rPr>
        <w:t>进行澄清、说明或补正</w:t>
      </w:r>
      <w:r>
        <w:rPr>
          <w:rFonts w:hint="eastAsia"/>
          <w:color w:val="auto"/>
          <w:szCs w:val="21"/>
          <w:highlight w:val="none"/>
          <w:lang w:eastAsia="zh-CN"/>
        </w:rPr>
        <w:t>的</w:t>
      </w:r>
      <w:r>
        <w:rPr>
          <w:color w:val="auto"/>
          <w:szCs w:val="21"/>
          <w:highlight w:val="none"/>
        </w:rPr>
        <w:t>，或者其说明补正无法证明其为合格投标人的；</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1.4</w:t>
      </w:r>
      <w:r>
        <w:rPr>
          <w:color w:val="auto"/>
          <w:szCs w:val="21"/>
          <w:highlight w:val="none"/>
        </w:rPr>
        <w:t>在形式评审、资格评审、响应性评审中，评标委员会认定投标文件不符合评标办法前附表规定</w:t>
      </w:r>
      <w:r>
        <w:rPr>
          <w:rFonts w:hint="eastAsia"/>
          <w:color w:val="auto"/>
          <w:szCs w:val="21"/>
          <w:highlight w:val="none"/>
        </w:rPr>
        <w:t>的任何一项</w:t>
      </w:r>
      <w:r>
        <w:rPr>
          <w:color w:val="auto"/>
          <w:szCs w:val="21"/>
          <w:highlight w:val="none"/>
        </w:rPr>
        <w:t>评审标准的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 xml:space="preserve">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6</w:t>
      </w:r>
      <w:r>
        <w:rPr>
          <w:color w:val="auto"/>
          <w:szCs w:val="21"/>
          <w:highlight w:val="none"/>
        </w:rPr>
        <w:t>评标委员会认定投标人以低于成本报价竞标的；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投标报价有错误的，评标委员会按评标办法</w:t>
      </w:r>
      <w:r>
        <w:rPr>
          <w:rFonts w:hint="eastAsia"/>
          <w:color w:val="auto"/>
          <w:szCs w:val="21"/>
          <w:highlight w:val="none"/>
        </w:rPr>
        <w:t>“</w:t>
      </w:r>
      <w:r>
        <w:rPr>
          <w:color w:val="auto"/>
          <w:szCs w:val="21"/>
          <w:highlight w:val="none"/>
        </w:rPr>
        <w:t>附件3-1评标详细程序</w:t>
      </w:r>
      <w:r>
        <w:rPr>
          <w:rFonts w:hint="eastAsia"/>
          <w:color w:val="auto"/>
          <w:szCs w:val="21"/>
          <w:highlight w:val="none"/>
        </w:rPr>
        <w:t>”</w:t>
      </w:r>
      <w:r>
        <w:rPr>
          <w:color w:val="auto"/>
          <w:szCs w:val="21"/>
          <w:highlight w:val="none"/>
        </w:rPr>
        <w:t>的有关规定对投标报价进行修正，并要求投标人</w:t>
      </w:r>
      <w:r>
        <w:rPr>
          <w:rFonts w:hint="eastAsia"/>
          <w:color w:val="auto"/>
          <w:szCs w:val="21"/>
          <w:highlight w:val="none"/>
        </w:rPr>
        <w:t>作出</w:t>
      </w:r>
      <w:r>
        <w:rPr>
          <w:color w:val="auto"/>
          <w:szCs w:val="21"/>
          <w:highlight w:val="none"/>
        </w:rPr>
        <w:t>书面澄清</w:t>
      </w:r>
      <w:r>
        <w:rPr>
          <w:rFonts w:hint="eastAsia"/>
          <w:color w:val="auto"/>
          <w:szCs w:val="21"/>
          <w:highlight w:val="none"/>
        </w:rPr>
        <w:t>说明和</w:t>
      </w:r>
      <w:r>
        <w:rPr>
          <w:color w:val="auto"/>
          <w:szCs w:val="21"/>
          <w:highlight w:val="none"/>
        </w:rPr>
        <w:t>确认</w:t>
      </w:r>
      <w:r>
        <w:rPr>
          <w:rFonts w:hint="eastAsia"/>
          <w:color w:val="auto"/>
          <w:szCs w:val="21"/>
          <w:highlight w:val="none"/>
        </w:rPr>
        <w:t>，</w:t>
      </w:r>
      <w:r>
        <w:rPr>
          <w:color w:val="auto"/>
          <w:szCs w:val="21"/>
          <w:highlight w:val="none"/>
        </w:rPr>
        <w:t>投标人拒不</w:t>
      </w:r>
      <w:r>
        <w:rPr>
          <w:rFonts w:hint="eastAsia"/>
          <w:color w:val="auto"/>
          <w:szCs w:val="21"/>
          <w:highlight w:val="none"/>
        </w:rPr>
        <w:t>作出</w:t>
      </w:r>
      <w:r>
        <w:rPr>
          <w:color w:val="auto"/>
          <w:szCs w:val="21"/>
          <w:highlight w:val="none"/>
        </w:rPr>
        <w:t>澄清</w:t>
      </w:r>
      <w:r>
        <w:rPr>
          <w:rFonts w:hint="eastAsia"/>
          <w:color w:val="auto"/>
          <w:szCs w:val="21"/>
          <w:highlight w:val="none"/>
        </w:rPr>
        <w:t>说明和</w:t>
      </w:r>
      <w:r>
        <w:rPr>
          <w:color w:val="auto"/>
          <w:szCs w:val="21"/>
          <w:highlight w:val="none"/>
        </w:rPr>
        <w:t>确认的；</w:t>
      </w:r>
    </w:p>
    <w:p>
      <w:pPr>
        <w:adjustRightInd w:val="0"/>
        <w:snapToGrid w:val="0"/>
        <w:spacing w:line="360" w:lineRule="auto"/>
        <w:ind w:firstLine="420" w:firstLineChars="200"/>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.8</w:t>
      </w:r>
      <w:r>
        <w:rPr>
          <w:color w:val="auto"/>
          <w:szCs w:val="21"/>
          <w:highlight w:val="none"/>
        </w:rPr>
        <w:t xml:space="preserve"> </w:t>
      </w:r>
      <w:r>
        <w:rPr>
          <w:rFonts w:hint="eastAsia"/>
          <w:color w:val="auto"/>
          <w:szCs w:val="21"/>
          <w:highlight w:val="none"/>
        </w:rPr>
        <w:t>投标文件存在弄虚作假或者隐瞒事实，或者未按照招标文件要求如实提供有关情况和文件，以及证明资料且对投标人有利的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1.9 技术方案采用合格性评审，被评标委员会认定为不合格的；</w:t>
      </w:r>
    </w:p>
    <w:p>
      <w:pPr>
        <w:adjustRightInd w:val="0"/>
        <w:snapToGrid w:val="0"/>
        <w:spacing w:line="360" w:lineRule="auto"/>
        <w:ind w:firstLine="420" w:firstLineChars="200"/>
        <w:rPr>
          <w:rFonts w:hint="eastAsia"/>
          <w:color w:val="auto"/>
          <w:highlight w:val="none"/>
        </w:rPr>
      </w:pPr>
      <w:r>
        <w:rPr>
          <w:rFonts w:hint="eastAsia"/>
          <w:color w:val="auto"/>
          <w:szCs w:val="21"/>
          <w:highlight w:val="none"/>
        </w:rPr>
        <w:t>□1.1</w:t>
      </w:r>
      <w:r>
        <w:rPr>
          <w:rFonts w:hint="eastAsia"/>
          <w:color w:val="auto"/>
          <w:szCs w:val="21"/>
          <w:highlight w:val="none"/>
          <w:lang w:val="en-US" w:eastAsia="zh-CN"/>
        </w:rPr>
        <w:t>0</w:t>
      </w:r>
      <w:r>
        <w:rPr>
          <w:rFonts w:hint="eastAsia"/>
          <w:color w:val="auto"/>
          <w:szCs w:val="21"/>
          <w:highlight w:val="none"/>
        </w:rPr>
        <w:t>本项目的项目建议书编制单位、可行性研究报告编制单位、初步设计文件编制单</w:t>
      </w:r>
      <w:r>
        <w:rPr>
          <w:rFonts w:hint="eastAsia"/>
          <w:color w:val="auto"/>
          <w:highlight w:val="none"/>
        </w:rPr>
        <w:t>位及其评估单位参与投标的；</w:t>
      </w:r>
    </w:p>
    <w:p>
      <w:pPr>
        <w:adjustRightInd w:val="0"/>
        <w:snapToGrid w:val="0"/>
        <w:spacing w:line="360" w:lineRule="auto"/>
        <w:ind w:firstLine="420" w:firstLineChars="200"/>
        <w:rPr>
          <w:rFonts w:hint="eastAsia" w:ascii="Times New Roman" w:hAnsi="Times New Roman" w:eastAsia="宋体" w:cs="Times New Roman"/>
          <w:bCs w:val="0"/>
          <w:color w:val="auto"/>
          <w:highlight w:val="none"/>
        </w:rPr>
      </w:pPr>
      <w:r>
        <w:rPr>
          <w:rFonts w:hint="eastAsia" w:eastAsia="宋体"/>
          <w:color w:val="auto"/>
          <w:highlight w:val="none"/>
          <w:lang w:val="en-US" w:eastAsia="zh-CN"/>
        </w:rPr>
        <w:t>……</w:t>
      </w:r>
    </w:p>
    <w:p>
      <w:pPr>
        <w:widowControl/>
        <w:jc w:val="left"/>
        <w:rPr>
          <w:rFonts w:eastAsia="黑体"/>
          <w:color w:val="auto"/>
          <w:sz w:val="30"/>
          <w:szCs w:val="30"/>
          <w:highlight w:val="none"/>
        </w:rPr>
      </w:pPr>
      <w:r>
        <w:rPr>
          <w:rFonts w:eastAsia="楷体_GB2312"/>
          <w:color w:val="auto"/>
          <w:szCs w:val="21"/>
          <w:highlight w:val="none"/>
        </w:rPr>
        <w:br w:type="page"/>
      </w:r>
      <w:r>
        <w:rPr>
          <w:rFonts w:eastAsia="黑体"/>
          <w:bCs/>
          <w:color w:val="auto"/>
          <w:sz w:val="24"/>
          <w:highlight w:val="none"/>
        </w:rPr>
        <w:t xml:space="preserve"> </w:t>
      </w:r>
      <w:bookmarkEnd w:id="145"/>
      <w:bookmarkStart w:id="146" w:name="_Toc300678059"/>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w:t>
      </w:r>
      <w:r>
        <w:rPr>
          <w:rStyle w:val="55"/>
          <w:rFonts w:hint="eastAsia" w:eastAsia="黑体"/>
          <w:b w:val="0"/>
          <w:color w:val="auto"/>
          <w:sz w:val="24"/>
          <w:highlight w:val="none"/>
        </w:rPr>
        <w:t>3</w:t>
      </w:r>
      <w:r>
        <w:rPr>
          <w:rStyle w:val="55"/>
          <w:rFonts w:ascii="Times New Roman" w:hAnsi="Times New Roman" w:eastAsia="黑体"/>
          <w:b w:val="0"/>
          <w:color w:val="auto"/>
          <w:sz w:val="24"/>
          <w:highlight w:val="none"/>
        </w:rPr>
        <w:t>：</w:t>
      </w:r>
      <w:r>
        <w:rPr>
          <w:rStyle w:val="55"/>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55"/>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5"/>
          <w:rFonts w:hint="eastAsia" w:eastAsia="黑体"/>
          <w:b w:val="0"/>
          <w:color w:val="auto"/>
          <w:sz w:val="28"/>
          <w:highlight w:val="none"/>
        </w:rPr>
        <w:t>计算机辅助评标办法</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hint="eastAsia" w:eastAsia="黑体"/>
          <w:color w:val="auto"/>
          <w:sz w:val="30"/>
          <w:szCs w:val="30"/>
          <w:highlight w:val="none"/>
        </w:rPr>
      </w:pPr>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附件2-4：</w:t>
      </w:r>
      <w:r>
        <w:rPr>
          <w:rStyle w:val="55"/>
          <w:rFonts w:hint="eastAsia" w:ascii="Times New Roman" w:hAnsi="Times New Roman"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pPr>
        <w:snapToGrid w:val="0"/>
        <w:spacing w:line="360" w:lineRule="auto"/>
        <w:jc w:val="center"/>
        <w:rPr>
          <w:rStyle w:val="55"/>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snapToGrid w:val="0"/>
        <w:spacing w:line="360" w:lineRule="auto"/>
        <w:jc w:val="left"/>
        <w:rPr>
          <w:rFonts w:hint="eastAsia" w:eastAsia="黑体"/>
          <w:color w:val="auto"/>
          <w:sz w:val="30"/>
          <w:szCs w:val="30"/>
          <w:highlight w:val="none"/>
        </w:rPr>
      </w:pPr>
    </w:p>
    <w:p>
      <w:pPr>
        <w:pStyle w:val="2"/>
        <w:spacing w:before="0" w:after="0"/>
        <w:jc w:val="center"/>
        <w:rPr>
          <w:rFonts w:ascii="Times New Roman" w:hAnsi="Times New Roman" w:eastAsia="黑体"/>
          <w:b w:val="0"/>
          <w:bCs w:val="0"/>
          <w:color w:val="auto"/>
          <w:highlight w:val="none"/>
        </w:rPr>
      </w:pPr>
      <w:r>
        <w:rPr>
          <w:b w:val="0"/>
          <w:color w:val="auto"/>
          <w:highlight w:val="none"/>
        </w:rPr>
        <w:br w:type="page"/>
      </w:r>
      <w:bookmarkEnd w:id="0"/>
      <w:bookmarkEnd w:id="146"/>
      <w:bookmarkStart w:id="147" w:name="_Toc300678125"/>
      <w:bookmarkStart w:id="148" w:name="_Toc69199917"/>
      <w:r>
        <w:rPr>
          <w:rFonts w:ascii="Times New Roman" w:hAnsi="Times New Roman" w:eastAsia="黑体"/>
          <w:b w:val="0"/>
          <w:bCs w:val="0"/>
          <w:color w:val="auto"/>
          <w:highlight w:val="none"/>
        </w:rPr>
        <w:t>第三章  评标办法</w:t>
      </w:r>
      <w:bookmarkEnd w:id="147"/>
      <w:bookmarkEnd w:id="148"/>
      <w:bookmarkStart w:id="149" w:name="_Toc300678126"/>
    </w:p>
    <w:p>
      <w:pPr>
        <w:spacing w:line="312" w:lineRule="auto"/>
        <w:jc w:val="center"/>
        <w:rPr>
          <w:rFonts w:eastAsia="黑体"/>
          <w:bCs/>
          <w:color w:val="auto"/>
          <w:sz w:val="30"/>
          <w:highlight w:val="none"/>
        </w:rPr>
      </w:pPr>
      <w:r>
        <w:rPr>
          <w:rFonts w:eastAsia="黑体"/>
          <w:bCs/>
          <w:color w:val="auto"/>
          <w:sz w:val="30"/>
          <w:highlight w:val="none"/>
        </w:rPr>
        <w:t>评标办法前附表</w:t>
      </w:r>
    </w:p>
    <w:bookmarkEnd w:id="149"/>
    <w:tbl>
      <w:tblPr>
        <w:tblStyle w:val="4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17"/>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评审因素</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.1.1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投标人名称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default" w:ascii="Calibri" w:hAnsi="Calibri" w:cs="Calibri"/>
                <w:color w:val="auto"/>
                <w:szCs w:val="21"/>
                <w:highlight w:val="none"/>
              </w:rPr>
              <w:t>与营业执照、资质证书、安全生产许可证上的名称一致；省外企业名称与在“湖南省住房和城乡建设网”登记的一致</w:t>
            </w: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提交两份以上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的投标文件</w:t>
            </w:r>
            <w:r>
              <w:rPr>
                <w:rFonts w:hint="eastAsia" w:ascii="Calibri" w:hAnsi="Calibri" w:cs="Calibri"/>
                <w:color w:val="auto"/>
                <w:szCs w:val="21"/>
                <w:highlight w:val="none"/>
              </w:rPr>
              <w:t>，</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w:t>
            </w:r>
            <w:r>
              <w:rPr>
                <w:rFonts w:hint="default" w:ascii="Calibri" w:hAnsi="Calibri" w:cs="Calibri"/>
                <w:bCs/>
                <w:color w:val="auto"/>
                <w:szCs w:val="21"/>
                <w:highlight w:val="none"/>
              </w:rPr>
              <w:t>以</w:t>
            </w:r>
            <w:r>
              <w:rPr>
                <w:rFonts w:hint="default" w:ascii="Calibri" w:hAnsi="Calibri" w:cs="Calibri"/>
                <w:color w:val="auto"/>
                <w:szCs w:val="21"/>
                <w:highlight w:val="none"/>
              </w:rPr>
              <w:t>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w:t>
            </w:r>
            <w:r>
              <w:rPr>
                <w:rFonts w:hint="eastAsia" w:ascii="Calibri" w:hAnsi="Calibri" w:cs="Calibri"/>
                <w:color w:val="auto"/>
                <w:szCs w:val="21"/>
                <w:highlight w:val="none"/>
              </w:rPr>
              <w:t>报价，</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法定代表人身份证明</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lang w:val="en-US"/>
              </w:rPr>
            </w:pPr>
            <w:r>
              <w:rPr>
                <w:rFonts w:hint="eastAsia" w:ascii="Calibri" w:hAnsi="Calibri" w:cs="Calibri"/>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授权委托书（如有）</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共同投标协议</w:t>
            </w:r>
            <w:r>
              <w:rPr>
                <w:rFonts w:hint="eastAsia" w:ascii="Calibri" w:hAnsi="Calibri" w:cs="Calibri"/>
                <w:color w:val="auto"/>
                <w:szCs w:val="21"/>
                <w:highlight w:val="none"/>
                <w:lang w:val="en-US" w:eastAsia="zh-CN"/>
              </w:rPr>
              <w:t>（如有）</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2"/>
                <w:sz w:val="21"/>
                <w:szCs w:val="21"/>
                <w:highlight w:val="none"/>
                <w:lang w:val="en-US" w:eastAsia="zh-CN" w:bidi="ar-SA"/>
              </w:rPr>
              <w:t>（2）</w:t>
            </w:r>
            <w:r>
              <w:rPr>
                <w:rFonts w:hint="eastAsia" w:ascii="Calibri" w:hAnsi="Calibri" w:cs="Calibri"/>
                <w:color w:val="auto"/>
                <w:szCs w:val="21"/>
                <w:highlight w:val="none"/>
                <w:lang w:val="en-US" w:eastAsia="zh-CN"/>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.1.2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营业执照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资质等级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安全生产许可证</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类似</w:t>
            </w:r>
            <w:r>
              <w:rPr>
                <w:rFonts w:hint="eastAsia" w:ascii="Calibri" w:hAnsi="Calibri" w:cs="Calibri"/>
                <w:color w:val="auto"/>
                <w:szCs w:val="21"/>
                <w:highlight w:val="none"/>
              </w:rPr>
              <w:t>工程</w:t>
            </w:r>
            <w:r>
              <w:rPr>
                <w:rFonts w:hint="default" w:ascii="Calibri" w:hAnsi="Calibri" w:cs="Calibri"/>
                <w:color w:val="auto"/>
                <w:szCs w:val="21"/>
                <w:highlight w:val="none"/>
              </w:rPr>
              <w:t>业绩</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拟任工程总承包项目负责人资格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拟任施工项目负责人资格</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拟任设计项目负责人资格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其他要求</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8789" w:type="dxa"/>
            <w:gridSpan w:val="2"/>
            <w:noWrap w:val="0"/>
            <w:vAlign w:val="center"/>
          </w:tcPr>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1.已进行资格预审的，评标委员会一般不再对</w:t>
            </w:r>
            <w:r>
              <w:rPr>
                <w:rFonts w:hint="eastAsia" w:ascii="Calibri" w:hAnsi="Calibri" w:cs="Calibri"/>
                <w:color w:val="auto"/>
                <w:szCs w:val="21"/>
                <w:highlight w:val="none"/>
              </w:rPr>
              <w:t>投标人</w:t>
            </w:r>
            <w:r>
              <w:rPr>
                <w:rFonts w:hint="default" w:ascii="Calibri" w:hAnsi="Calibri" w:cs="Calibri"/>
                <w:color w:val="auto"/>
                <w:szCs w:val="21"/>
                <w:highlight w:val="none"/>
              </w:rPr>
              <w:t>资格进行评审。投标人资格预审申请文件的内容发生</w:t>
            </w:r>
            <w:r>
              <w:rPr>
                <w:rFonts w:hint="eastAsia" w:ascii="Calibri" w:hAnsi="Calibri" w:cs="Calibri"/>
                <w:color w:val="auto"/>
                <w:szCs w:val="21"/>
                <w:highlight w:val="none"/>
              </w:rPr>
              <w:t>了</w:t>
            </w:r>
            <w:r>
              <w:rPr>
                <w:rFonts w:hint="default" w:ascii="Calibri" w:hAnsi="Calibri" w:cs="Calibri"/>
                <w:color w:val="auto"/>
                <w:szCs w:val="21"/>
                <w:highlight w:val="none"/>
              </w:rPr>
              <w:t>重大变化</w:t>
            </w:r>
            <w:r>
              <w:rPr>
                <w:rFonts w:hint="eastAsia" w:ascii="Calibri" w:hAnsi="Calibri" w:cs="Calibri"/>
                <w:color w:val="auto"/>
                <w:szCs w:val="21"/>
                <w:highlight w:val="none"/>
              </w:rPr>
              <w:t>的</w:t>
            </w:r>
            <w:r>
              <w:rPr>
                <w:rFonts w:hint="default" w:ascii="Calibri" w:hAnsi="Calibri" w:cs="Calibri"/>
                <w:color w:val="auto"/>
                <w:szCs w:val="21"/>
                <w:highlight w:val="none"/>
              </w:rPr>
              <w:t>，由评标委员会依据资格预审文件中规定的标准和方法，对照投标人资格预审申请文件中的资料以及开标前更新的资料，对其更新的资料进行评审，其变化后的资格条件不得低于原有资格条件要求。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2.未进行资格预审的，由评标委员会根据评审标准，对投标人资格进行评审。</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.1.3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投标内容</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pPr>
              <w:keepNext w:val="0"/>
              <w:keepLines w:val="0"/>
              <w:suppressLineNumbers w:val="0"/>
              <w:adjustRightInd w:val="0"/>
              <w:snapToGrid w:val="0"/>
              <w:spacing w:before="0" w:beforeAutospacing="0" w:after="0" w:afterAutospacing="0" w:line="360" w:lineRule="auto"/>
              <w:ind w:left="0" w:right="0"/>
              <w:rPr>
                <w:rFonts w:hint="eastAsia" w:ascii="Calibri" w:hAnsi="Calibri" w:eastAsia="宋体" w:cs="Calibri"/>
                <w:color w:val="auto"/>
                <w:szCs w:val="21"/>
                <w:highlight w:val="none"/>
                <w:lang w:eastAsia="zh-CN"/>
              </w:rPr>
            </w:pPr>
            <w:r>
              <w:rPr>
                <w:rFonts w:hint="eastAsia" w:ascii="Times New Roman" w:hAnsi="Times New Roman" w:eastAsia="宋体" w:cs="Times New Roman"/>
                <w:bCs w:val="0"/>
                <w:color w:val="auto"/>
                <w:highlight w:val="none"/>
              </w:rPr>
              <w:t>投标报价中的暂估价或暂列金额与招标人公布的暂估价或暂列金额</w:t>
            </w:r>
            <w:r>
              <w:rPr>
                <w:rFonts w:hint="eastAsia" w:ascii="Times New Roman" w:hAnsi="Times New Roman" w:eastAsia="宋体" w:cs="Times New Roman"/>
                <w:bCs w:val="0"/>
                <w:color w:val="auto"/>
                <w:highlight w:val="none"/>
                <w:lang w:val="en-US" w:eastAsia="zh-CN"/>
              </w:rPr>
              <w:t>应</w:t>
            </w:r>
            <w:r>
              <w:rPr>
                <w:rFonts w:hint="eastAsia" w:ascii="Times New Roman" w:hAnsi="Times New Roman" w:eastAsia="宋体" w:cs="Times New Roman"/>
                <w:bCs w:val="0"/>
                <w:color w:val="auto"/>
                <w:highlight w:val="none"/>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工期</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工程质量和保修</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投标文件载明的质量标准</w:t>
            </w:r>
            <w:r>
              <w:rPr>
                <w:rFonts w:hint="eastAsia" w:ascii="Calibri" w:hAnsi="Calibri" w:cs="Calibri"/>
                <w:color w:val="auto"/>
                <w:kern w:val="0"/>
                <w:szCs w:val="21"/>
                <w:highlight w:val="none"/>
              </w:rPr>
              <w:t>和</w:t>
            </w:r>
            <w:r>
              <w:rPr>
                <w:rFonts w:hint="default" w:ascii="Calibri" w:hAnsi="Calibri" w:cs="Calibri"/>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省外入湘企业基本信息登记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拟任工程总承包负责人及施工负责人在建情况</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投标保证</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kern w:val="0"/>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权利义务</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条款内容</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1.2.2</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权值构成</w:t>
            </w:r>
          </w:p>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（总权值1）</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Cs w:val="21"/>
                <w:highlight w:val="none"/>
                <w:u w:val="single"/>
              </w:rPr>
            </w:pPr>
            <w:r>
              <w:rPr>
                <w:rFonts w:hint="eastAsia" w:ascii="Calibri" w:hAnsi="Calibri" w:cs="Calibri"/>
                <w:color w:val="auto"/>
                <w:szCs w:val="21"/>
                <w:highlight w:val="none"/>
              </w:rPr>
              <w:t>技术方案</w:t>
            </w:r>
            <w:r>
              <w:rPr>
                <w:rFonts w:hint="default" w:ascii="Calibri" w:hAnsi="Calibri" w:cs="Calibri"/>
                <w:color w:val="auto"/>
                <w:szCs w:val="21"/>
                <w:highlight w:val="none"/>
              </w:rPr>
              <w:t>权重</w:t>
            </w:r>
            <w:r>
              <w:rPr>
                <w:rFonts w:hint="eastAsia" w:ascii="Calibri" w:hAnsi="Calibri" w:cs="Calibri"/>
                <w:color w:val="auto"/>
                <w:szCs w:val="21"/>
                <w:highlight w:val="none"/>
              </w:rPr>
              <w:t>J1</w:t>
            </w:r>
            <w:r>
              <w:rPr>
                <w:rFonts w:hint="default" w:ascii="Calibri" w:hAnsi="Calibri" w:cs="Calibri"/>
                <w:color w:val="auto"/>
                <w:szCs w:val="21"/>
                <w:highlight w:val="none"/>
              </w:rPr>
              <w:t>（取值范围：</w:t>
            </w:r>
            <w:r>
              <w:rPr>
                <w:rFonts w:hint="default" w:ascii="宋体" w:hAnsi="宋体" w:cs="Calibri"/>
                <w:color w:val="auto"/>
                <w:szCs w:val="21"/>
                <w:highlight w:val="none"/>
              </w:rPr>
              <w:t>0-0.</w:t>
            </w:r>
            <w:r>
              <w:rPr>
                <w:rFonts w:hint="eastAsia" w:ascii="宋体" w:hAnsi="宋体" w:cs="Calibri"/>
                <w:color w:val="auto"/>
                <w:szCs w:val="21"/>
                <w:highlight w:val="none"/>
              </w:rPr>
              <w:t>3</w:t>
            </w:r>
            <w:r>
              <w:rPr>
                <w:rFonts w:hint="default" w:ascii="宋体" w:hAnsi="宋体" w:cs="Calibri"/>
                <w:color w:val="auto"/>
                <w:szCs w:val="21"/>
                <w:highlight w:val="none"/>
              </w:rPr>
              <w:t>0）：</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u w:val="single"/>
              </w:rPr>
            </w:pPr>
            <w:r>
              <w:rPr>
                <w:rFonts w:hint="eastAsia" w:ascii="宋体" w:hAnsi="宋体" w:cs="Calibri"/>
                <w:color w:val="auto"/>
                <w:szCs w:val="21"/>
                <w:highlight w:val="none"/>
              </w:rPr>
              <w:t>企业资信及履约能力</w:t>
            </w:r>
            <w:r>
              <w:rPr>
                <w:rFonts w:hint="eastAsia" w:ascii="宋体" w:hAnsi="宋体" w:cs="Calibri"/>
                <w:color w:val="auto"/>
                <w:szCs w:val="21"/>
                <w:highlight w:val="none"/>
                <w:lang w:val="en-US" w:eastAsia="zh-CN"/>
              </w:rPr>
              <w:t>权重</w:t>
            </w:r>
            <w:r>
              <w:rPr>
                <w:rFonts w:hint="eastAsia" w:ascii="Calibri" w:hAnsi="Calibri" w:cs="Calibri"/>
                <w:color w:val="auto"/>
                <w:szCs w:val="21"/>
                <w:highlight w:val="none"/>
              </w:rPr>
              <w:t>J2</w:t>
            </w:r>
            <w:r>
              <w:rPr>
                <w:rFonts w:hint="default" w:ascii="宋体" w:hAnsi="宋体" w:cs="Calibri"/>
                <w:color w:val="auto"/>
                <w:szCs w:val="21"/>
                <w:highlight w:val="none"/>
              </w:rPr>
              <w:t>（取值范围：0.</w:t>
            </w:r>
            <w:r>
              <w:rPr>
                <w:rFonts w:hint="eastAsia" w:ascii="宋体" w:hAnsi="宋体" w:cs="Calibri"/>
                <w:color w:val="auto"/>
                <w:szCs w:val="21"/>
                <w:highlight w:val="none"/>
              </w:rPr>
              <w:t>35-</w:t>
            </w:r>
            <w:r>
              <w:rPr>
                <w:rFonts w:hint="default" w:ascii="宋体" w:hAnsi="宋体" w:cs="Calibri"/>
                <w:color w:val="auto"/>
                <w:szCs w:val="21"/>
                <w:highlight w:val="none"/>
              </w:rPr>
              <w:t>0.45）：</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宋体" w:hAnsi="宋体" w:cs="Calibri"/>
                <w:color w:val="auto"/>
                <w:szCs w:val="21"/>
                <w:highlight w:val="none"/>
              </w:rPr>
              <w:t>投标报价权重</w:t>
            </w:r>
            <w:r>
              <w:rPr>
                <w:rFonts w:hint="eastAsia" w:ascii="Calibri" w:hAnsi="Calibri" w:cs="Calibri"/>
                <w:color w:val="auto"/>
                <w:szCs w:val="21"/>
                <w:highlight w:val="none"/>
              </w:rPr>
              <w:t>J3</w:t>
            </w:r>
            <w:r>
              <w:rPr>
                <w:rFonts w:hint="default" w:ascii="宋体" w:hAnsi="宋体" w:cs="Calibri"/>
                <w:color w:val="auto"/>
                <w:szCs w:val="21"/>
                <w:highlight w:val="none"/>
              </w:rPr>
              <w:t>（取值范围：0.</w:t>
            </w:r>
            <w:r>
              <w:rPr>
                <w:rFonts w:hint="eastAsia" w:ascii="宋体" w:hAnsi="宋体" w:cs="Calibri"/>
                <w:color w:val="auto"/>
                <w:szCs w:val="21"/>
                <w:highlight w:val="none"/>
              </w:rPr>
              <w:t>3</w:t>
            </w:r>
            <w:r>
              <w:rPr>
                <w:rFonts w:hint="default" w:ascii="宋体" w:hAnsi="宋体" w:cs="Calibri"/>
                <w:color w:val="auto"/>
                <w:szCs w:val="21"/>
                <w:highlight w:val="none"/>
              </w:rPr>
              <w:t>5-0.5</w:t>
            </w:r>
            <w:r>
              <w:rPr>
                <w:rFonts w:hint="eastAsia" w:ascii="宋体" w:hAnsi="宋体" w:cs="Calibri"/>
                <w:color w:val="auto"/>
                <w:szCs w:val="21"/>
                <w:highlight w:val="none"/>
                <w:lang w:val="en-US" w:eastAsia="zh-CN"/>
              </w:rPr>
              <w:t>5</w:t>
            </w:r>
            <w:r>
              <w:rPr>
                <w:rFonts w:hint="default" w:ascii="宋体" w:hAnsi="宋体" w:cs="Calibri"/>
                <w:color w:val="auto"/>
                <w:szCs w:val="21"/>
                <w:highlight w:val="none"/>
              </w:rPr>
              <w:t>）</w:t>
            </w:r>
            <w:r>
              <w:rPr>
                <w:rFonts w:hint="default" w:ascii="Calibri" w:hAnsi="Calibri" w:cs="Calibri"/>
                <w:color w:val="auto"/>
                <w:szCs w:val="21"/>
                <w:highlight w:val="none"/>
              </w:rPr>
              <w:t>：</w:t>
            </w:r>
            <w:r>
              <w:rPr>
                <w:rFonts w:hint="default" w:ascii="Calibri" w:hAnsi="Calibri" w:cs="Calibri"/>
                <w:color w:val="auto"/>
                <w:szCs w:val="21"/>
                <w:highlight w:val="none"/>
                <w:u w:val="single"/>
              </w:rPr>
              <w:t xml:space="preserve">        </w:t>
            </w:r>
          </w:p>
        </w:tc>
      </w:tr>
    </w:tbl>
    <w:p>
      <w:pPr>
        <w:jc w:val="center"/>
        <w:rPr>
          <w:rFonts w:hint="eastAsia"/>
          <w:color w:val="auto"/>
          <w:sz w:val="18"/>
          <w:highlight w:val="none"/>
        </w:rPr>
      </w:pPr>
    </w:p>
    <w:p>
      <w:pPr>
        <w:spacing w:line="400" w:lineRule="exact"/>
        <w:rPr>
          <w:color w:val="auto"/>
          <w:sz w:val="18"/>
          <w:highlight w:val="none"/>
        </w:rPr>
      </w:pPr>
      <w:r>
        <w:rPr>
          <w:color w:val="auto"/>
          <w:sz w:val="18"/>
          <w:highlight w:val="none"/>
        </w:rPr>
        <w:br w:type="page"/>
      </w:r>
      <w:r>
        <w:rPr>
          <w:color w:val="auto"/>
          <w:szCs w:val="21"/>
          <w:highlight w:val="none"/>
        </w:rPr>
        <w:t>承前页：</w:t>
      </w:r>
      <w:r>
        <w:rPr>
          <w:rFonts w:hint="eastAsia"/>
          <w:color w:val="auto"/>
          <w:szCs w:val="21"/>
          <w:highlight w:val="none"/>
        </w:rPr>
        <w:t>技术方案采用</w:t>
      </w:r>
      <w:r>
        <w:rPr>
          <w:rFonts w:hint="eastAsia"/>
          <w:color w:val="auto"/>
          <w:szCs w:val="21"/>
          <w:highlight w:val="none"/>
          <w:lang w:val="en-US" w:eastAsia="zh-CN"/>
        </w:rPr>
        <w:t>明</w:t>
      </w:r>
      <w:r>
        <w:rPr>
          <w:rFonts w:hint="eastAsia"/>
          <w:color w:val="auto"/>
          <w:szCs w:val="21"/>
          <w:highlight w:val="none"/>
        </w:rPr>
        <w:t>标评审方式。</w:t>
      </w:r>
    </w:p>
    <w:tbl>
      <w:tblPr>
        <w:tblStyle w:val="4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572"/>
        <w:gridCol w:w="670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评审因素</w:t>
            </w:r>
          </w:p>
        </w:tc>
        <w:tc>
          <w:tcPr>
            <w:tcW w:w="6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总承包方案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总承包工作的重点难点和相应的针对性措施；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总承包进度计划和保证措施，重要节点和管控措施；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总承包整体成本管控方案和措施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风险成本的控制措施；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总承包资源配置和管控措施。</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1.工作</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完整、表达</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清晰</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2.设计工作的重点难点不准确；</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3.无法</w:t>
            </w:r>
            <w:r>
              <w:rPr>
                <w:rFonts w:hint="eastAsia" w:ascii="宋体" w:hAnsi="宋体" w:eastAsia="宋体" w:cs="宋体"/>
                <w:color w:val="auto"/>
                <w:sz w:val="24"/>
                <w:highlight w:val="none"/>
              </w:rPr>
              <w:t>实现项目各项指标要求</w:t>
            </w:r>
            <w:r>
              <w:rPr>
                <w:rFonts w:hint="eastAsia" w:ascii="宋体" w:hAnsi="宋体" w:eastAsia="宋体" w:cs="宋体"/>
                <w:color w:val="auto"/>
                <w:sz w:val="24"/>
                <w:highlight w:val="none"/>
                <w:lang w:eastAsia="zh-CN"/>
              </w:rPr>
              <w:t>。</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施工组织设计</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质量、安全、文明施工及环境保护管理体系与措施</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2.缺少</w:t>
            </w:r>
            <w:r>
              <w:rPr>
                <w:rFonts w:hint="eastAsia" w:ascii="宋体" w:hAnsi="宋体" w:eastAsia="宋体" w:cs="宋体"/>
                <w:bCs/>
                <w:color w:val="auto"/>
                <w:sz w:val="24"/>
                <w:highlight w:val="none"/>
              </w:rPr>
              <w:t>建筑垃圾源头减量、分类处置及扬尘污染防治等相关内容</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缺少</w:t>
            </w:r>
            <w:r>
              <w:rPr>
                <w:rFonts w:hint="eastAsia" w:ascii="宋体" w:hAnsi="宋体" w:eastAsia="宋体" w:cs="宋体"/>
                <w:color w:val="auto"/>
                <w:sz w:val="24"/>
                <w:highlight w:val="none"/>
              </w:rPr>
              <w:t>特殊情况下的应急预案、处理措施及相关承诺；</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施工总平面布置规划。</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bl>
    <w:p>
      <w:pPr>
        <w:spacing w:line="400" w:lineRule="exact"/>
        <w:rPr>
          <w:rFonts w:hint="eastAsia"/>
          <w:color w:val="auto"/>
          <w:szCs w:val="21"/>
          <w:highlight w:val="none"/>
        </w:rPr>
      </w:pPr>
      <w:r>
        <w:rPr>
          <w:rFonts w:hint="eastAsia"/>
          <w:color w:val="auto"/>
          <w:szCs w:val="21"/>
          <w:highlight w:val="none"/>
        </w:rPr>
        <w:t>注：1.适用于技术方案采用合格性评审项目；</w:t>
      </w:r>
    </w:p>
    <w:p>
      <w:pPr>
        <w:spacing w:line="400" w:lineRule="exact"/>
        <w:ind w:firstLine="420" w:firstLineChars="200"/>
        <w:rPr>
          <w:rFonts w:hint="eastAsia"/>
          <w:color w:val="auto"/>
          <w:szCs w:val="21"/>
          <w:highlight w:val="none"/>
        </w:rPr>
      </w:pPr>
      <w:r>
        <w:rPr>
          <w:rFonts w:hint="eastAsia"/>
          <w:color w:val="auto"/>
          <w:szCs w:val="21"/>
          <w:highlight w:val="none"/>
        </w:rPr>
        <w:t>2.因技术方案缺项或者同一项评审内容被超过一半评标委员会成员判定为不合格的，技术方案不合格，应当否决其投标；</w:t>
      </w:r>
    </w:p>
    <w:p>
      <w:pPr>
        <w:spacing w:line="400" w:lineRule="exact"/>
        <w:ind w:firstLine="420" w:firstLineChars="200"/>
        <w:rPr>
          <w:color w:val="auto"/>
          <w:szCs w:val="21"/>
          <w:highlight w:val="none"/>
        </w:rPr>
      </w:pPr>
      <w:r>
        <w:rPr>
          <w:rFonts w:hint="eastAsia"/>
          <w:color w:val="auto"/>
          <w:szCs w:val="21"/>
          <w:highlight w:val="none"/>
        </w:rPr>
        <w:t>3.技术方案评审不合格的，评标委员会应当注明理由和依据。</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br w:type="page"/>
      </w:r>
      <w:r>
        <w:rPr>
          <w:color w:val="auto"/>
          <w:szCs w:val="21"/>
          <w:highlight w:val="none"/>
        </w:rPr>
        <w:t>承前页：</w:t>
      </w:r>
      <w:r>
        <w:rPr>
          <w:rFonts w:hint="eastAsia"/>
          <w:color w:val="auto"/>
          <w:szCs w:val="21"/>
          <w:highlight w:val="none"/>
        </w:rPr>
        <w:t>技术方案采用暗标评审方式。</w:t>
      </w:r>
    </w:p>
    <w:tbl>
      <w:tblPr>
        <w:tblStyle w:val="4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77"/>
        <w:gridCol w:w="1303"/>
        <w:gridCol w:w="59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18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评审项目</w:t>
            </w:r>
          </w:p>
        </w:tc>
        <w:tc>
          <w:tcPr>
            <w:tcW w:w="59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总承包方案（45分）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1、组织机构设置是否合理，是否涵盖招标人要求的全部内容；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2、管理内容是否全面、完整，是否涵盖项目风险、进度、质量、成本、安全、环保、合同等管理；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3、整体部署是否合理、可靠。</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安全生产控制方案（8分）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1、总包管理的安全目标是否明确，组织机构是否健全；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2、安全风险是否识别到位，安全投入计划是否合理；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3、总包管理的安全管理及保障措施是否全面、有效。</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成本控制方案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1、成本控制方案对超</w:t>
            </w:r>
            <w:r>
              <w:rPr>
                <w:rFonts w:hint="eastAsia" w:ascii="宋体" w:hAnsi="宋体" w:eastAsia="宋体" w:cs="宋体"/>
                <w:bCs/>
                <w:color w:val="auto"/>
                <w:kern w:val="0"/>
                <w:sz w:val="24"/>
                <w:szCs w:val="24"/>
                <w:highlight w:val="none"/>
                <w:lang w:val="en-US" w:eastAsia="zh-CN"/>
              </w:rPr>
              <w:t>投资估算/</w:t>
            </w:r>
            <w:r>
              <w:rPr>
                <w:rFonts w:hint="eastAsia" w:ascii="宋体" w:hAnsi="宋体" w:eastAsia="宋体" w:cs="宋体"/>
                <w:bCs/>
                <w:color w:val="auto"/>
                <w:kern w:val="0"/>
                <w:sz w:val="24"/>
                <w:szCs w:val="24"/>
                <w:highlight w:val="none"/>
              </w:rPr>
              <w:t>超概风险提出的防范、化解措施是否合理可行；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2、项目设计变更等成本控制措施是否合理、可行。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1、质量目标是否明确，是否符合或者优于招标文件的要求；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2、管理机构是否健全，职责分工是否明确；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3、管理制度是否齐全；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4、管控措施是否全面、有效等。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进度管理方案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总工期及节点工期是否满足招标文件要求；</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设计、施工等进度计划内容是否全面，线路是否清晰、准确、完整，计划编制是否合理、可行；</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措施是否合理、可行等。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一体化管理措施是否有效促进项目设计、施工等深度融合；</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管理方案是否清晰并切实可行，内容是否全面、完整；</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保障措施是否合理可行。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87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设计优化方案（20分）</w:t>
            </w:r>
          </w:p>
        </w:tc>
        <w:tc>
          <w:tcPr>
            <w:tcW w:w="1303"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w:t>
            </w:r>
            <w:r>
              <w:rPr>
                <w:rFonts w:hint="eastAsia" w:ascii="宋体" w:hAnsi="宋体" w:eastAsia="宋体" w:cs="宋体"/>
                <w:bCs/>
                <w:color w:val="auto"/>
                <w:kern w:val="0"/>
                <w:sz w:val="24"/>
                <w:szCs w:val="24"/>
                <w:highlight w:val="none"/>
                <w:lang w:val="en-US" w:eastAsia="zh-CN"/>
              </w:rPr>
              <w:t>方案</w:t>
            </w:r>
            <w:r>
              <w:rPr>
                <w:rFonts w:hint="eastAsia" w:ascii="宋体" w:hAnsi="宋体" w:eastAsia="宋体" w:cs="宋体"/>
                <w:bCs/>
                <w:color w:val="auto"/>
                <w:kern w:val="0"/>
                <w:sz w:val="24"/>
                <w:szCs w:val="24"/>
                <w:highlight w:val="none"/>
              </w:rPr>
              <w:t xml:space="preserve">               （20分）</w:t>
            </w:r>
          </w:p>
        </w:tc>
        <w:tc>
          <w:tcPr>
            <w:tcW w:w="5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1、设计解读分析是否具体、全面；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2、是否针对项目特点、难点、关键点提出设计优化方案，方案内容是否完整合理、表达是否清晰，能否实现项目各项指标要求；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3、是否提供</w:t>
            </w:r>
            <w:r>
              <w:rPr>
                <w:rFonts w:hint="eastAsia" w:ascii="宋体" w:hAnsi="宋体" w:eastAsia="宋体" w:cs="宋体"/>
                <w:bCs/>
                <w:color w:val="auto"/>
                <w:kern w:val="0"/>
                <w:sz w:val="24"/>
                <w:szCs w:val="24"/>
                <w:highlight w:val="none"/>
                <w:lang w:val="en-US" w:eastAsia="zh-CN"/>
              </w:rPr>
              <w:t>方案设计/</w:t>
            </w:r>
            <w:r>
              <w:rPr>
                <w:rFonts w:hint="eastAsia" w:ascii="宋体" w:hAnsi="宋体" w:eastAsia="宋体" w:cs="宋体"/>
                <w:bCs/>
                <w:color w:val="auto"/>
                <w:kern w:val="0"/>
                <w:sz w:val="24"/>
                <w:szCs w:val="24"/>
                <w:highlight w:val="none"/>
              </w:rPr>
              <w:t>初步设计中错、漏、碰、缺等问题的修正方案，方案是否全面合理；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4、新技术、新材料、新设备、新工艺的应用是否可行，绿色建筑设计措施是否科学、合理，节能环保产品（含建筑垃圾衍生产品）应用方案是否具体、合理，装配式技术（如有）是否合理、可行等；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设计说明、图纸是否符合招标</w:t>
            </w:r>
            <w:r>
              <w:rPr>
                <w:rFonts w:hint="eastAsia" w:ascii="宋体" w:hAnsi="宋体" w:eastAsia="宋体" w:cs="宋体"/>
                <w:bCs/>
                <w:color w:val="auto"/>
                <w:kern w:val="0"/>
                <w:sz w:val="24"/>
                <w:szCs w:val="24"/>
                <w:highlight w:val="none"/>
                <w:lang w:val="en-US" w:eastAsia="zh-CN"/>
              </w:rPr>
              <w:t>文件</w:t>
            </w:r>
            <w:r>
              <w:rPr>
                <w:rFonts w:hint="eastAsia" w:ascii="宋体" w:hAnsi="宋体" w:eastAsia="宋体" w:cs="宋体"/>
                <w:bCs/>
                <w:color w:val="auto"/>
                <w:kern w:val="0"/>
                <w:sz w:val="24"/>
                <w:szCs w:val="24"/>
                <w:highlight w:val="none"/>
              </w:rPr>
              <w:t>要求。</w:t>
            </w:r>
          </w:p>
        </w:tc>
        <w:tc>
          <w:tcPr>
            <w:tcW w:w="95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施工组织设计（25分）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施工方案与技术措施（10分）</w:t>
            </w:r>
          </w:p>
        </w:tc>
        <w:tc>
          <w:tcPr>
            <w:tcW w:w="5985" w:type="dxa"/>
            <w:shd w:val="clear" w:color="000000" w:fill="FFFFFF"/>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对项目总体概况表述是否清晰、完整；</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工作部署及技术措施是否先进、可靠；</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针对项目实施的重点、难点分析是否透彻，解决方案是否切实可行；</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施工平面布置是否有针对性、合理，较好满足施工需要，是否符合安全、文明生产要求等。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安全目标是否明确，是否优于招标文件的要求；</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管理制度是否齐全；实施与监控措施是否全面、有效等。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环境保护管理体系与措施（3分）</w:t>
            </w:r>
          </w:p>
        </w:tc>
        <w:tc>
          <w:tcPr>
            <w:tcW w:w="5985" w:type="dxa"/>
            <w:shd w:val="clear" w:color="000000" w:fill="FFFFFF"/>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环境管理目标是否明确，是否优于招标文件的要求；</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管理制度是否齐全（是否包含建筑垃圾源头减量、分类处置及扬尘污染防治等相关内容）；</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资源配备计划</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资源投入计划、施工部署、施工方法与进度计划是否能够相互呼应并较好的满足施工需要；</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调配投入计划是否合理、准确等。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BIM工作方案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项目实施过程中，BIM组织架构及岗位职责，BIM实施规划及应用价值点，BIM模型及应用的成果形式与交付计划，施工、运维阶段BIM数据有效流转的保障机制等。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内容完整和编制水平</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版面是否整齐，表述是否清晰，内容是否全面、准确，是否图文并茂，是否出现格式等错误，是否超过招标人规定的页数。</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其他（8分）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招标人根据项目实际提出的其他合理要求</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bl>
    <w:p>
      <w:pPr>
        <w:spacing w:line="480" w:lineRule="exact"/>
        <w:ind w:firstLine="420" w:firstLineChars="200"/>
        <w:rPr>
          <w:rFonts w:hint="eastAsia" w:ascii="宋体" w:hAnsi="宋体" w:eastAsia="宋体" w:cs="Times New Roman"/>
          <w:color w:val="auto"/>
          <w:highlight w:val="none"/>
        </w:rPr>
      </w:pPr>
    </w:p>
    <w:p>
      <w:pPr>
        <w:spacing w:line="48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注：适用于技术方案采用计分评审的项目。</w:t>
      </w:r>
    </w:p>
    <w:p>
      <w:pPr>
        <w:spacing w:line="480" w:lineRule="exact"/>
        <w:ind w:firstLine="420" w:firstLineChars="200"/>
        <w:rPr>
          <w:rFonts w:ascii="宋体" w:hAnsi="宋体"/>
          <w:color w:val="auto"/>
          <w:highlight w:val="none"/>
        </w:rPr>
      </w:pPr>
      <w:r>
        <w:rPr>
          <w:rFonts w:hint="eastAsia" w:ascii="宋体" w:hAnsi="宋体"/>
          <w:color w:val="auto"/>
          <w:highlight w:val="none"/>
        </w:rPr>
        <w:t>1.技术方案评审标准编制要求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 xml:space="preserve"> 技术方案采用暗标方式，招标人</w:t>
      </w:r>
      <w:r>
        <w:rPr>
          <w:rFonts w:ascii="宋体" w:hAnsi="宋体"/>
          <w:color w:val="auto"/>
          <w:highlight w:val="none"/>
        </w:rPr>
        <w:t>可以根据项目实际</w:t>
      </w:r>
      <w:r>
        <w:rPr>
          <w:rFonts w:hint="eastAsia" w:ascii="宋体" w:hAnsi="宋体"/>
          <w:color w:val="auto"/>
          <w:highlight w:val="none"/>
        </w:rPr>
        <w:t>，在招标文件中明确技术</w:t>
      </w:r>
      <w:r>
        <w:rPr>
          <w:rFonts w:ascii="宋体" w:hAnsi="宋体"/>
          <w:color w:val="auto"/>
          <w:highlight w:val="none"/>
        </w:rPr>
        <w:t>方案</w:t>
      </w:r>
      <w:r>
        <w:rPr>
          <w:rFonts w:hint="eastAsia" w:ascii="宋体" w:hAnsi="宋体"/>
          <w:color w:val="auto"/>
          <w:highlight w:val="none"/>
        </w:rPr>
        <w:t>具体页数要求；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 xml:space="preserve"> 计分表中的评审标准为通用模板，招标人可根据项目的实际情况在评审标准的招标人其他要求中进行补充；</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 xml:space="preserve"> </w:t>
      </w:r>
      <w:r>
        <w:rPr>
          <w:rFonts w:hint="eastAsia" w:ascii="宋体" w:hAnsi="宋体" w:cs="宋体"/>
          <w:bCs/>
          <w:color w:val="auto"/>
          <w:kern w:val="0"/>
          <w:highlight w:val="none"/>
        </w:rPr>
        <w:t>最高投标限价超过20000万元的项目，应当将BIM工作方案纳入评审；最高投标限价在20000万元以下的项目，</w:t>
      </w:r>
      <w:r>
        <w:rPr>
          <w:rFonts w:hint="eastAsia" w:ascii="宋体" w:hAnsi="宋体"/>
          <w:color w:val="auto"/>
          <w:highlight w:val="none"/>
        </w:rPr>
        <w:t>可以将</w:t>
      </w:r>
      <w:r>
        <w:rPr>
          <w:rFonts w:hint="eastAsia" w:ascii="宋体" w:hAnsi="宋体" w:cs="宋体"/>
          <w:bCs/>
          <w:color w:val="auto"/>
          <w:kern w:val="0"/>
          <w:highlight w:val="none"/>
        </w:rPr>
        <w:t>BIM工作方案纳入评审。</w:t>
      </w:r>
    </w:p>
    <w:p>
      <w:pPr>
        <w:spacing w:line="480" w:lineRule="exact"/>
        <w:ind w:firstLine="420" w:firstLineChars="200"/>
        <w:rPr>
          <w:rFonts w:ascii="宋体" w:hAnsi="宋体"/>
          <w:color w:val="auto"/>
          <w:highlight w:val="none"/>
        </w:rPr>
      </w:pPr>
      <w:r>
        <w:rPr>
          <w:rFonts w:ascii="宋体" w:hAnsi="宋体"/>
          <w:color w:val="auto"/>
          <w:highlight w:val="none"/>
        </w:rPr>
        <w:t>2.技术方案评审要求</w:t>
      </w:r>
    </w:p>
    <w:p>
      <w:pPr>
        <w:spacing w:line="480" w:lineRule="exact"/>
        <w:ind w:firstLine="420" w:firstLineChars="200"/>
        <w:rPr>
          <w:rFonts w:ascii="宋体" w:hAnsi="宋体"/>
          <w:color w:val="auto"/>
          <w:highlight w:val="none"/>
        </w:rPr>
      </w:pPr>
      <w:r>
        <w:rPr>
          <w:rFonts w:ascii="宋体" w:hAnsi="宋体"/>
          <w:color w:val="auto"/>
          <w:highlight w:val="none"/>
        </w:rPr>
        <w:t>2.1由评标委员会独立评审计分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2.2投标文件的“技术方案暗标”内出现投标人名称或者出现任何能直接判断出投标人名称的内容的，技术方案评审计零分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2.3技术方案缺失某项评审项目</w:t>
      </w:r>
      <w:r>
        <w:rPr>
          <w:rFonts w:hint="eastAsia" w:ascii="宋体" w:hAnsi="宋体"/>
          <w:color w:val="auto"/>
          <w:highlight w:val="none"/>
        </w:rPr>
        <w:t>或者某项评审因素明显错误</w:t>
      </w:r>
      <w:r>
        <w:rPr>
          <w:rFonts w:ascii="宋体" w:hAnsi="宋体"/>
          <w:color w:val="auto"/>
          <w:highlight w:val="none"/>
        </w:rPr>
        <w:t>的，该项计零分；</w:t>
      </w:r>
    </w:p>
    <w:p>
      <w:pPr>
        <w:spacing w:line="480" w:lineRule="exact"/>
        <w:ind w:firstLine="420" w:firstLineChars="200"/>
        <w:rPr>
          <w:rFonts w:ascii="宋体" w:hAnsi="宋体"/>
          <w:color w:val="auto"/>
          <w:highlight w:val="none"/>
        </w:rPr>
      </w:pPr>
      <w:r>
        <w:rPr>
          <w:rFonts w:ascii="宋体" w:hAnsi="宋体"/>
          <w:color w:val="auto"/>
          <w:highlight w:val="none"/>
        </w:rPr>
        <w:t>2.4评标委员会成员对单项评审项目评审应当在规定的区间内计分，评标委员会成员对各项因素</w:t>
      </w:r>
      <w:r>
        <w:rPr>
          <w:rFonts w:hint="eastAsia" w:ascii="宋体" w:hAnsi="宋体"/>
          <w:color w:val="auto"/>
          <w:highlight w:val="none"/>
        </w:rPr>
        <w:t>（内容完整和编制水平除外）</w:t>
      </w:r>
      <w:r>
        <w:rPr>
          <w:rFonts w:ascii="宋体" w:hAnsi="宋体"/>
          <w:color w:val="auto"/>
          <w:highlight w:val="none"/>
        </w:rPr>
        <w:t>的评分不得低于招标文件规定该因素满分值的80%；评分低于满分值8</w:t>
      </w:r>
      <w:r>
        <w:rPr>
          <w:rFonts w:hint="eastAsia" w:ascii="宋体" w:hAnsi="宋体"/>
          <w:color w:val="auto"/>
          <w:highlight w:val="none"/>
          <w:lang w:val="en-US" w:eastAsia="zh-CN"/>
        </w:rPr>
        <w:t>5</w:t>
      </w:r>
      <w:r>
        <w:rPr>
          <w:rFonts w:ascii="宋体" w:hAnsi="宋体"/>
          <w:color w:val="auto"/>
          <w:highlight w:val="none"/>
        </w:rPr>
        <w:t>%的或高于满分分值9</w:t>
      </w:r>
      <w:r>
        <w:rPr>
          <w:rFonts w:hint="eastAsia" w:ascii="宋体" w:hAnsi="宋体"/>
          <w:color w:val="auto"/>
          <w:highlight w:val="none"/>
          <w:lang w:val="en-US" w:eastAsia="zh-CN"/>
        </w:rPr>
        <w:t>5</w:t>
      </w:r>
      <w:r>
        <w:rPr>
          <w:rFonts w:ascii="宋体" w:hAnsi="宋体"/>
          <w:color w:val="auto"/>
          <w:highlight w:val="none"/>
        </w:rPr>
        <w:t>%的，评标委员会成员应当在评标报告中作出说明</w:t>
      </w:r>
      <w:r>
        <w:rPr>
          <w:rFonts w:hint="eastAsia" w:ascii="宋体" w:hAnsi="宋体"/>
          <w:color w:val="auto"/>
          <w:highlight w:val="none"/>
        </w:rPr>
        <w:t>并注明详细理由和依据,不得采用笼统或简单的“好、一般、差”等表述；</w:t>
      </w:r>
    </w:p>
    <w:p>
      <w:pPr>
        <w:spacing w:line="480" w:lineRule="exact"/>
        <w:ind w:firstLine="420" w:firstLineChars="200"/>
        <w:rPr>
          <w:rFonts w:ascii="宋体" w:hAnsi="宋体"/>
          <w:color w:val="auto"/>
          <w:highlight w:val="none"/>
        </w:rPr>
      </w:pPr>
      <w:r>
        <w:rPr>
          <w:rFonts w:ascii="宋体" w:hAnsi="宋体"/>
          <w:color w:val="auto"/>
          <w:highlight w:val="none"/>
        </w:rPr>
        <w:t>2.5</w:t>
      </w:r>
      <w:r>
        <w:rPr>
          <w:rFonts w:hint="eastAsia" w:ascii="宋体" w:hAnsi="宋体"/>
          <w:color w:val="auto"/>
          <w:highlight w:val="none"/>
        </w:rPr>
        <w:t>投标文件</w:t>
      </w:r>
      <w:r>
        <w:rPr>
          <w:rFonts w:ascii="宋体" w:hAnsi="宋体"/>
          <w:color w:val="auto"/>
          <w:highlight w:val="none"/>
        </w:rPr>
        <w:t>页数超过招标文件规定页数的，</w:t>
      </w:r>
      <w:r>
        <w:rPr>
          <w:rFonts w:hint="eastAsia" w:ascii="宋体" w:hAnsi="宋体"/>
          <w:color w:val="auto"/>
          <w:highlight w:val="none"/>
        </w:rPr>
        <w:t>由</w:t>
      </w:r>
      <w:r>
        <w:rPr>
          <w:rFonts w:ascii="宋体" w:hAnsi="宋体"/>
          <w:color w:val="auto"/>
          <w:highlight w:val="none"/>
        </w:rPr>
        <w:t>评标委员会</w:t>
      </w:r>
      <w:r>
        <w:rPr>
          <w:rFonts w:hint="eastAsia" w:ascii="宋体" w:hAnsi="宋体"/>
          <w:color w:val="auto"/>
          <w:highlight w:val="none"/>
        </w:rPr>
        <w:t>对其必要性进行</w:t>
      </w:r>
      <w:r>
        <w:rPr>
          <w:rFonts w:ascii="宋体" w:hAnsi="宋体"/>
          <w:color w:val="auto"/>
          <w:highlight w:val="none"/>
        </w:rPr>
        <w:t>评审</w:t>
      </w:r>
      <w:r>
        <w:rPr>
          <w:rFonts w:hint="eastAsia" w:ascii="宋体" w:hAnsi="宋体"/>
          <w:color w:val="auto"/>
          <w:highlight w:val="none"/>
        </w:rPr>
        <w:t>，可在内容完整和编制水平</w:t>
      </w:r>
      <w:r>
        <w:rPr>
          <w:rFonts w:ascii="宋体" w:hAnsi="宋体"/>
          <w:color w:val="auto"/>
          <w:highlight w:val="none"/>
        </w:rPr>
        <w:t>中予以扣分</w:t>
      </w:r>
      <w:r>
        <w:rPr>
          <w:rFonts w:hint="eastAsia" w:ascii="宋体" w:hAnsi="宋体"/>
          <w:color w:val="auto"/>
          <w:highlight w:val="none"/>
        </w:rPr>
        <w:t>；</w:t>
      </w:r>
    </w:p>
    <w:p>
      <w:pPr>
        <w:spacing w:line="480" w:lineRule="exact"/>
        <w:ind w:firstLine="420" w:firstLineChars="200"/>
        <w:rPr>
          <w:rFonts w:ascii="宋体" w:hAnsi="宋体" w:eastAsia="宋体" w:cs="Times New Roman"/>
          <w:color w:val="auto"/>
          <w:highlight w:val="none"/>
        </w:rPr>
      </w:pPr>
      <w:r>
        <w:rPr>
          <w:rFonts w:ascii="宋体" w:hAnsi="宋体"/>
          <w:color w:val="auto"/>
          <w:highlight w:val="none"/>
        </w:rPr>
        <w:t>2.6</w:t>
      </w:r>
      <w:r>
        <w:rPr>
          <w:rFonts w:hint="eastAsia" w:ascii="宋体" w:hAnsi="宋体"/>
          <w:color w:val="auto"/>
          <w:highlight w:val="none"/>
        </w:rPr>
        <w:t>投标人的技术方案得分为去掉评审总分的一个最高分和一个最低分后的算术平均值。</w:t>
      </w:r>
    </w:p>
    <w:p>
      <w:pPr>
        <w:spacing w:line="400" w:lineRule="exact"/>
        <w:rPr>
          <w:color w:val="auto"/>
          <w:highlight w:val="none"/>
        </w:rPr>
      </w:pPr>
      <w:r>
        <w:rPr>
          <w:color w:val="auto"/>
          <w:highlight w:val="none"/>
        </w:rPr>
        <w:br w:type="page"/>
      </w:r>
      <w:r>
        <w:rPr>
          <w:color w:val="auto"/>
          <w:szCs w:val="21"/>
          <w:highlight w:val="none"/>
        </w:rPr>
        <w:t>承前页：</w:t>
      </w:r>
      <w:r>
        <w:rPr>
          <w:color w:val="auto"/>
          <w:highlight w:val="none"/>
        </w:rPr>
        <w:t xml:space="preserve"> </w:t>
      </w:r>
    </w:p>
    <w:tbl>
      <w:tblPr>
        <w:tblStyle w:val="4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02"/>
        <w:gridCol w:w="708"/>
        <w:gridCol w:w="566"/>
        <w:gridCol w:w="1045"/>
        <w:gridCol w:w="3812"/>
        <w:gridCol w:w="1099"/>
        <w:gridCol w:w="704"/>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510" w:type="dxa"/>
            <w:gridSpan w:val="2"/>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评审因素</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       分值</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评审标准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选取</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w:t>
            </w:r>
          </w:p>
        </w:tc>
        <w:tc>
          <w:tcPr>
            <w:tcW w:w="2116" w:type="dxa"/>
            <w:gridSpan w:val="3"/>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510" w:type="dxa"/>
            <w:gridSpan w:val="2"/>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类别</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数量和分值</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最低分</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设计-施工一体化</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同时具备满足项目要求的设计和施工资质</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独立投标人(设计资质)或联合体中设计单位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国家级优秀工程设计奖，每个1.2分。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省级优秀工程设计奖，每个1分。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中的设计</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独立投标人或联合体中设计单位获得的省级设计招标投标信用评价得分*10%。</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设计单位信用评价结果未公布之前，统一</w:t>
            </w:r>
            <w:r>
              <w:rPr>
                <w:rFonts w:hint="eastAsia" w:ascii="宋体" w:hAnsi="宋体" w:eastAsia="宋体" w:cs="宋体"/>
                <w:color w:val="auto"/>
                <w:kern w:val="0"/>
                <w:highlight w:val="none"/>
                <w:lang w:val="en-US" w:eastAsia="zh-CN"/>
              </w:rPr>
              <w:t>计</w:t>
            </w:r>
            <w:r>
              <w:rPr>
                <w:rFonts w:hint="eastAsia" w:ascii="宋体" w:hAnsi="宋体" w:eastAsia="宋体" w:cs="宋体"/>
                <w:color w:val="auto"/>
                <w:kern w:val="0"/>
                <w:highlight w:val="none"/>
              </w:rPr>
              <w:t>100分。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独立投标人(施工资质)或联合体中施工单位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 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鲁班奖，每个2分；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国家优质工程奖，每个1.7分。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w:t>
            </w:r>
            <w:r>
              <w:rPr>
                <w:rFonts w:hint="eastAsia" w:ascii="宋体" w:hAnsi="宋体" w:eastAsia="宋体" w:cs="宋体"/>
                <w:color w:val="auto"/>
                <w:kern w:val="0"/>
                <w:highlight w:val="none"/>
                <w:lang w:val="en-US" w:eastAsia="zh-CN"/>
              </w:rPr>
              <w:t>综合</w:t>
            </w:r>
            <w:r>
              <w:rPr>
                <w:rFonts w:hint="eastAsia" w:ascii="宋体" w:hAnsi="宋体" w:eastAsia="宋体" w:cs="宋体"/>
                <w:color w:val="auto"/>
                <w:kern w:val="0"/>
                <w:highlight w:val="none"/>
              </w:rPr>
              <w:t>工程质量奖，每个1.5分；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省级优质工程奖，每个1分。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7</w:t>
            </w:r>
          </w:p>
        </w:tc>
        <w:tc>
          <w:tcPr>
            <w:tcW w:w="1045"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标准化</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国家建设工程项目施工工地安全生产标准化学习交流项目，每个1分。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省级建筑施工安全生产标准化年度项目考评优良工地，每个0.</w:t>
            </w:r>
            <w:r>
              <w:rPr>
                <w:rFonts w:hint="eastAsia" w:ascii="宋体" w:hAnsi="宋体" w:eastAsia="宋体" w:cs="宋体"/>
                <w:color w:val="auto"/>
                <w:kern w:val="0"/>
                <w:highlight w:val="none"/>
                <w:lang w:val="en-US" w:eastAsia="zh-CN"/>
              </w:rPr>
              <w:t>25</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绿色科技创新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w:t>
            </w:r>
            <w:r>
              <w:rPr>
                <w:rFonts w:hint="eastAsia" w:ascii="宋体" w:hAnsi="宋体" w:eastAsia="宋体" w:cs="宋体"/>
                <w:color w:val="auto"/>
                <w:kern w:val="0"/>
                <w:highlight w:val="none"/>
              </w:rPr>
              <w:t>星</w:t>
            </w:r>
            <w:r>
              <w:rPr>
                <w:rFonts w:hint="eastAsia" w:ascii="宋体" w:hAnsi="宋体" w:eastAsia="宋体" w:cs="宋体"/>
                <w:color w:val="auto"/>
                <w:kern w:val="0"/>
                <w:highlight w:val="none"/>
                <w:lang w:val="en-US" w:eastAsia="zh-CN"/>
              </w:rPr>
              <w:t>级</w:t>
            </w:r>
            <w:r>
              <w:rPr>
                <w:rFonts w:hint="eastAsia" w:ascii="宋体" w:hAnsi="宋体" w:eastAsia="宋体" w:cs="宋体"/>
                <w:color w:val="auto"/>
                <w:kern w:val="0"/>
                <w:highlight w:val="none"/>
              </w:rPr>
              <w:t>绿色建筑、AA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w:t>
            </w:r>
            <w:r>
              <w:rPr>
                <w:rFonts w:hint="eastAsia" w:ascii="宋体" w:hAnsi="宋体" w:eastAsia="宋体" w:cs="宋体"/>
                <w:color w:val="auto"/>
                <w:kern w:val="0"/>
                <w:highlight w:val="none"/>
                <w:lang w:val="en"/>
              </w:rPr>
              <w:t>,每个</w:t>
            </w:r>
            <w:r>
              <w:rPr>
                <w:rFonts w:hint="eastAsia" w:ascii="宋体" w:hAnsi="宋体" w:eastAsia="宋体" w:cs="宋体"/>
                <w:color w:val="auto"/>
                <w:kern w:val="0"/>
                <w:highlight w:val="none"/>
              </w:rPr>
              <w:t>1分；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二星级</w:t>
            </w:r>
            <w:r>
              <w:rPr>
                <w:rFonts w:hint="eastAsia" w:ascii="宋体" w:hAnsi="宋体" w:eastAsia="宋体" w:cs="宋体"/>
                <w:color w:val="auto"/>
                <w:kern w:val="0"/>
                <w:highlight w:val="none"/>
              </w:rPr>
              <w:t>绿色建筑、A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级装配式建筑每个0.</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省级绿色施工工程，每个0.</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施工项目季度考评综合优良率</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施工项目季度考评综合优良率得分</w:t>
            </w:r>
          </w:p>
        </w:tc>
        <w:tc>
          <w:tcPr>
            <w:tcW w:w="10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eastAsia="宋体" w:cs="宋体"/>
                <w:color w:val="auto"/>
                <w:kern w:val="0"/>
                <w:sz w:val="24"/>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中的施工</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独立投标人或联合体中施工单位获得的省级施工招标投标信用评价得分×30%。</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拟任工程总承包项目负责人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不良信息</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工程总承包负责人存在信用评价不良信用信息的，</w:t>
            </w:r>
            <w:r>
              <w:rPr>
                <w:rFonts w:hint="eastAsia" w:ascii="宋体" w:hAnsi="宋体" w:eastAsia="宋体" w:cs="宋体"/>
                <w:color w:val="auto"/>
                <w:highlight w:val="none"/>
                <w:lang w:val="en-US" w:eastAsia="zh-CN"/>
              </w:rPr>
              <w:t>根据不良信用信息类型，按照表后注解对应的分值进行扣除</w:t>
            </w:r>
            <w:r>
              <w:rPr>
                <w:rFonts w:hint="eastAsia" w:ascii="宋体" w:hAnsi="宋体" w:eastAsia="宋体" w:cs="宋体"/>
                <w:color w:val="auto"/>
                <w:highlight w:val="none"/>
              </w:rPr>
              <w:t>。</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r>
    </w:tbl>
    <w:p>
      <w:pPr>
        <w:jc w:val="center"/>
        <w:rPr>
          <w:rFonts w:hint="eastAsia" w:ascii="宋体" w:hAnsi="宋体" w:eastAsia="宋体" w:cs="宋体"/>
          <w:color w:val="auto"/>
          <w:sz w:val="18"/>
          <w:highlight w:val="none"/>
        </w:rPr>
      </w:pPr>
    </w:p>
    <w:p>
      <w:pPr>
        <w:snapToGrid w:val="0"/>
        <w:ind w:firstLine="480" w:firstLineChars="200"/>
        <w:rPr>
          <w:rFonts w:hint="eastAsia" w:ascii="宋体" w:hAnsi="宋体" w:eastAsia="宋体" w:cs="宋体"/>
          <w:color w:val="auto"/>
          <w:sz w:val="24"/>
          <w:highlight w:val="none"/>
        </w:rPr>
      </w:pPr>
      <w:bookmarkStart w:id="150" w:name="_Hlk67584066"/>
      <w:r>
        <w:rPr>
          <w:rFonts w:hint="eastAsia" w:ascii="宋体" w:hAnsi="宋体" w:eastAsia="宋体" w:cs="宋体"/>
          <w:color w:val="auto"/>
          <w:sz w:val="24"/>
          <w:highlight w:val="none"/>
        </w:rPr>
        <w:t>注：</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1．优良信息：</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1.1选择规则</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1.1.1  最高投标限价≥20000万元的工程总承包项目、最高投标限价≥3000万元的专业工程总承包项目，优良信息中的奖项和标准化工地应当按照下列规则选择评审数量：设计资质或联合体中设计单位国家级和省级（省、自治区、直辖市，下同）奖项评审数量可由招标人根据项目实际情况分别从0-2个中进行选择；施工资质或联合体中施工单位国家级和省级奖项可由招标人根据项目实际情况分别从1-3个中进行选择；国家建设工程项目施工工地安全生产标准化学习交流项目评审数量可由招标人根据项目实际情况从1-2个中进行选择；省级建筑施工安全生产标准化年度项目考评优良工地评审数量可由招标人根据项目实际情况从10-20个中进行选择；绿色科技创新相关指标评审分值可由招标人根据项目实际情况从0-3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  5000万元≤最高投标限价＜20000万元的工程总承包项目、1500万元≤最高投标限价＜3000万元的专业工程总承包项目，优良信息中的奖项和标准化工地应当按照下列规则选择评审数量：设计资质或联合体中设计单位国家级和省级奖项评审数量可由招标人根据项目实际情况分别从0-1个中进行选择；施工资质或联合体中施工单位国家级和省级奖项可由招标人根据项目实际情况分别从0-2个中进行选择；国家建设工程项目施工工地安全生产标准化学习交流项目评审数量可由招标人根据项目实际情况从0-2个中进行选择；省级建筑施工安全生产标准化年度项目考评优良工地评审数量可由招标人根据项目实际情况从0-10个中进行选择；绿色科技创新相关指标评审分值可由招标人根据项目实际情况从0-2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最高投标限价＜5000万元的工程总承包项目、最高投标限价＜1500万元的专业工程总承包项目，优良信息中的奖项、标准化工地和绿色科技创新指标不得列入评审计分范围；</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1.1.4  对符合2.1.2条款规定的项目（专业工程除外），在选择国家级奖项列入评审计分范围时，须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最高投标限价在10000万元以上的工程。</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  绿色发展及科技创新加分规定</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项目中包含绿色建筑、装配式建筑或者绿色施工内容要求的，招标人可按照2.1.1-2.1.3规定选择绿色建筑(三星级绿色建筑每个1分、二星级绿色建筑每个0.8分)、装配式建筑（AAA级装配式建筑每个1分、AA级装配式建筑每个0.8分）、绿色施工（省级绿色施工工程每个0.3分）加分，分别以住房和城乡建设部、省级住房和城乡建设部门公布文件为准。</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  评审期限和依据</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《关于公布20XX年度工程勘察、建筑设计行业和市政公用工程优秀勘察设计奖评选结果的通知》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省内</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《关于公布20XX年度湖南省优秀工程勘察设计奖评选结果的通知》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省外</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省级建设行政主管部门或省级勘察设计协会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1.获奖文件；2.当地省级建设行政主管部门公布的评标办法文件复印件及官网查询截图。</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w:t>
            </w:r>
            <w:r>
              <w:rPr>
                <w:rFonts w:hint="eastAsia" w:ascii="宋体" w:hAnsi="宋体" w:eastAsia="宋体" w:cs="宋体"/>
                <w:sz w:val="20"/>
                <w:szCs w:val="22"/>
                <w:lang w:val="en-US" w:eastAsia="zh-CN"/>
              </w:rPr>
              <w:t>颁发</w:t>
            </w:r>
            <w:r>
              <w:rPr>
                <w:rFonts w:hint="eastAsia" w:ascii="宋体" w:hAnsi="宋体" w:eastAsia="宋体" w:cs="宋体"/>
                <w:sz w:val="20"/>
                <w:szCs w:val="22"/>
              </w:rPr>
              <w:t xml:space="preserve">〈20XX～20XX年度中国建设工程鲁班奖（国家优质工程）〉的决定》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省内</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芙蓉奖</w:t>
            </w:r>
            <w:r>
              <w:rPr>
                <w:rFonts w:hint="eastAsia" w:ascii="宋体" w:hAnsi="宋体" w:eastAsia="宋体" w:cs="宋体"/>
                <w:sz w:val="20"/>
                <w:szCs w:val="22"/>
                <w:lang w:eastAsia="zh-CN"/>
              </w:rPr>
              <w:t>）</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省外</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3.证明</w:t>
            </w:r>
            <w:r>
              <w:rPr>
                <w:rFonts w:hint="eastAsia" w:ascii="宋体" w:hAnsi="宋体" w:eastAsia="宋体" w:cs="宋体"/>
                <w:sz w:val="20"/>
                <w:szCs w:val="22"/>
              </w:rPr>
              <w:t>每年该综合工程质量奖项数量控制在 100 项以内 (含)的</w:t>
            </w:r>
            <w:r>
              <w:rPr>
                <w:rFonts w:hint="eastAsia" w:ascii="宋体" w:hAnsi="宋体" w:eastAsia="宋体" w:cs="宋体"/>
                <w:sz w:val="20"/>
                <w:szCs w:val="22"/>
                <w:lang w:val="en-US" w:eastAsia="zh-CN"/>
              </w:rPr>
              <w:t>文件复印件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省内省级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奖（湖南省优质工程奖）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cs="宋体"/>
                <w:sz w:val="20"/>
                <w:szCs w:val="22"/>
                <w:lang w:val="en-US" w:eastAsia="zh-CN"/>
              </w:rPr>
              <w:t>省外</w:t>
            </w:r>
            <w:r>
              <w:rPr>
                <w:rFonts w:hint="eastAsia" w:ascii="宋体" w:hAnsi="宋体" w:eastAsia="宋体" w:cs="宋体"/>
                <w:sz w:val="20"/>
                <w:szCs w:val="22"/>
                <w:lang w:val="en-US" w:eastAsia="zh-CN"/>
              </w:rPr>
              <w:t>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三星绿色建筑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二星绿色建筑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kern w:val="0"/>
                <w:sz w:val="20"/>
                <w:szCs w:val="22"/>
              </w:rPr>
              <w:t>AAA级装配式建筑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2"/>
              </w:rPr>
            </w:pPr>
            <w:r>
              <w:rPr>
                <w:rFonts w:hint="eastAsia" w:ascii="宋体" w:hAnsi="宋体" w:eastAsia="宋体" w:cs="宋体"/>
                <w:kern w:val="0"/>
                <w:sz w:val="20"/>
                <w:szCs w:val="22"/>
              </w:rPr>
              <w:t>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w:t>
            </w:r>
            <w:r>
              <w:rPr>
                <w:rFonts w:hint="eastAsia" w:ascii="宋体" w:hAnsi="宋体" w:eastAsia="宋体" w:cs="宋体"/>
                <w:sz w:val="20"/>
                <w:szCs w:val="22"/>
                <w:lang w:val="en-US" w:eastAsia="zh-CN"/>
              </w:rPr>
              <w:t>公布</w:t>
            </w:r>
            <w:r>
              <w:rPr>
                <w:rFonts w:hint="eastAsia" w:ascii="宋体" w:hAnsi="宋体" w:eastAsia="宋体" w:cs="宋体"/>
                <w:sz w:val="20"/>
                <w:szCs w:val="22"/>
              </w:rPr>
              <w:t>20XX年中国人居环境奖获奖名单的通报》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bl>
    <w:p>
      <w:pPr>
        <w:snapToGrid w:val="0"/>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获奖文件计分有效期以投标截止时间为时间节点，自获奖文件</w:t>
      </w:r>
      <w:r>
        <w:rPr>
          <w:rFonts w:hint="eastAsia" w:ascii="宋体" w:hAnsi="宋体" w:eastAsia="宋体" w:cs="宋体"/>
          <w:color w:val="auto"/>
          <w:sz w:val="24"/>
          <w:highlight w:val="none"/>
        </w:rPr>
        <w:t>发文次日计算起、止时间。</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奖项和标准化工地评审依据以</w:t>
      </w:r>
      <w:r>
        <w:rPr>
          <w:rFonts w:hint="eastAsia" w:ascii="宋体" w:hAnsi="宋体" w:eastAsia="宋体" w:cs="宋体"/>
          <w:bCs/>
          <w:color w:val="auto"/>
          <w:sz w:val="24"/>
          <w:highlight w:val="none"/>
          <w:lang w:eastAsia="zh-CN"/>
        </w:rPr>
        <w:t>公布</w:t>
      </w:r>
      <w:r>
        <w:rPr>
          <w:rFonts w:hint="eastAsia" w:ascii="宋体" w:hAnsi="宋体" w:eastAsia="宋体" w:cs="宋体"/>
          <w:bCs/>
          <w:color w:val="auto"/>
          <w:sz w:val="24"/>
          <w:highlight w:val="none"/>
        </w:rPr>
        <w:t>的文件为准。省内省级</w:t>
      </w:r>
      <w:r>
        <w:rPr>
          <w:rFonts w:hint="eastAsia" w:ascii="宋体" w:hAnsi="宋体" w:eastAsia="宋体" w:cs="宋体"/>
          <w:color w:val="auto"/>
          <w:sz w:val="24"/>
          <w:highlight w:val="none"/>
        </w:rPr>
        <w:t>综合工程质量奖为芙蓉奖，省级优质工程奖为湖南省优质工程奖</w:t>
      </w:r>
      <w:r>
        <w:rPr>
          <w:rFonts w:hint="eastAsia" w:ascii="宋体" w:hAnsi="宋体" w:eastAsia="宋体" w:cs="宋体"/>
          <w:color w:val="auto"/>
          <w:sz w:val="24"/>
          <w:highlight w:val="none"/>
          <w:lang w:eastAsia="zh-CN"/>
        </w:rPr>
        <w:t>，省级优秀工程设计奖</w:t>
      </w:r>
      <w:r>
        <w:rPr>
          <w:rFonts w:hint="eastAsia" w:ascii="宋体" w:hAnsi="宋体" w:eastAsia="宋体" w:cs="宋体"/>
          <w:color w:val="auto"/>
          <w:sz w:val="24"/>
          <w:highlight w:val="none"/>
          <w:lang w:val="en-US" w:eastAsia="zh-CN"/>
        </w:rPr>
        <w:t>为湖南省</w:t>
      </w:r>
      <w:r>
        <w:rPr>
          <w:rFonts w:hint="eastAsia" w:ascii="宋体" w:hAnsi="宋体" w:eastAsia="宋体" w:cs="宋体"/>
          <w:color w:val="auto"/>
          <w:sz w:val="24"/>
          <w:highlight w:val="none"/>
          <w:lang w:eastAsia="zh-CN"/>
        </w:rPr>
        <w:t>优秀工程勘察设计奖</w:t>
      </w:r>
      <w:r>
        <w:rPr>
          <w:rFonts w:hint="eastAsia" w:ascii="宋体" w:hAnsi="宋体" w:eastAsia="宋体" w:cs="宋体"/>
          <w:color w:val="auto"/>
          <w:sz w:val="24"/>
          <w:highlight w:val="none"/>
        </w:rPr>
        <w:t>。省外由省级建设行政主管部门或省级建筑业协会、省级勘察设计协会评定的省级优质工程奖、</w:t>
      </w:r>
      <w:r>
        <w:rPr>
          <w:rFonts w:hint="eastAsia" w:ascii="宋体" w:hAnsi="宋体" w:eastAsia="宋体" w:cs="宋体"/>
          <w:color w:val="auto"/>
          <w:kern w:val="0"/>
          <w:sz w:val="24"/>
          <w:highlight w:val="none"/>
        </w:rPr>
        <w:t>优秀工程设计奖</w:t>
      </w:r>
      <w:r>
        <w:rPr>
          <w:rFonts w:hint="eastAsia" w:ascii="宋体" w:hAnsi="宋体" w:eastAsia="宋体" w:cs="宋体"/>
          <w:color w:val="auto"/>
          <w:sz w:val="24"/>
          <w:highlight w:val="none"/>
        </w:rPr>
        <w:t>，在当地省级建设行政主管部门</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的评标办法中加分的，分别按省级优质工程奖、</w:t>
      </w:r>
      <w:r>
        <w:rPr>
          <w:rFonts w:hint="eastAsia" w:ascii="宋体" w:hAnsi="宋体" w:eastAsia="宋体" w:cs="宋体"/>
          <w:color w:val="auto"/>
          <w:kern w:val="0"/>
          <w:sz w:val="24"/>
          <w:highlight w:val="none"/>
        </w:rPr>
        <w:t>省级优秀工程设计奖对应</w:t>
      </w:r>
      <w:r>
        <w:rPr>
          <w:rFonts w:hint="eastAsia" w:ascii="宋体" w:hAnsi="宋体" w:eastAsia="宋体" w:cs="宋体"/>
          <w:color w:val="auto"/>
          <w:sz w:val="24"/>
          <w:highlight w:val="none"/>
        </w:rPr>
        <w:t>加分；投标人如能提供评奖当年省级优质工程奖项数量控制在 100 项以内 (含)的，则该获奖工程按省级综合工程质量奖加分。如该奖项年度内多批次</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的，奖项数量按上年度各批次累计总数为准。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2024年及以后省内省级建筑施工安全生产标准化年度项目考评优良工地指标为湖南省建筑施工安全质量标准化年度项目考评优良工地。</w:t>
      </w:r>
    </w:p>
    <w:bookmarkEnd w:id="150"/>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  加分规则</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.3.1  设计奖项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根据招标项目的特征明确设计奖项类别，招标项目为房屋建筑总承包项目的，对应建筑设计、传统建筑设计、住宅与住宅小区设计奖进行加分；招标项目为市政总承包项目的,对应市政公用工程设计综合奖进行加分；在国家级、省级奖项规定的个数和对应最高分不变的情况下，招标人还可以根据项目实际建设需求和技术特征，将建筑工业化设计、水系统工程设计等专项奖纳入评审。招标项目为园林绿化工程的，对应优秀园林景观设计专项奖加分。设计单位有两个以上的，分别按照评审计分表中规定分值的1／2计取。招标项目为专业工程的，设计奖项均不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.3.2  施工奖项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总承包工程的，招标项目工程类型与获奖工程的专业类别不一致，则该获奖工程不予计分；以专业资质获得的奖项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工程为园林绿化工程的，国家级奖项仅对中国人居环境范例奖（园林绿化获奖项目）加分（每个2分），以住房和城乡建设部公布文件为准；省级奖项仅对省级园林绿化优质工程加分（每个1分），以省级园林绿化协会公布文件为准。国家级、省级奖项规定的个数和对应最高分不变；优良信息中的标准化工地、绿化科技创新指标不加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招标项目为专业工程的，仅对以同专业资质获得的相应奖项计分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专业工程获奖项目</w:t>
      </w:r>
      <w:r>
        <w:rPr>
          <w:rFonts w:hint="eastAsia" w:ascii="宋体" w:hAnsi="宋体" w:eastAsia="宋体" w:cs="宋体"/>
          <w:color w:val="auto"/>
          <w:sz w:val="24"/>
          <w:highlight w:val="none"/>
          <w:lang w:val="en-US" w:eastAsia="zh-CN"/>
        </w:rPr>
        <w:t>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单位有两个以上的，按照评审计分表中的计分规则计取。以总承包资质获得的奖项不予计分。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.3.3  标准化工地</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（2）招标项目为专业工程的，仅对以同专业资质获得的相应标准化工地计分。专业工程</w:t>
      </w:r>
      <w:r>
        <w:rPr>
          <w:rFonts w:hint="eastAsia" w:ascii="宋体" w:hAnsi="宋体" w:eastAsia="宋体" w:cs="宋体"/>
          <w:color w:val="auto"/>
          <w:sz w:val="24"/>
          <w:highlight w:val="none"/>
          <w:lang w:val="en-US" w:eastAsia="zh-CN"/>
        </w:rPr>
        <w:t>标准化工地承建（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单位有两个及以上的，按照评审计分表中规定分值计取。以总承包资质获得的标准化工地不予计分。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.4  同一工程的奖项、标准化工地、绿色科技创新指标加分规则</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同一工程的奖项、标准化工地、绿色科技创新指标，</w:t>
      </w:r>
      <w:r>
        <w:rPr>
          <w:rFonts w:hint="eastAsia" w:ascii="宋体" w:hAnsi="宋体" w:eastAsia="宋体" w:cs="宋体"/>
          <w:color w:val="auto"/>
          <w:sz w:val="24"/>
          <w:highlight w:val="none"/>
          <w:lang w:val="en-US" w:eastAsia="zh-CN"/>
        </w:rPr>
        <w:t>分别</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得分最高的分值</w:t>
      </w:r>
      <w:r>
        <w:rPr>
          <w:rFonts w:hint="eastAsia" w:ascii="宋体" w:hAnsi="宋体" w:eastAsia="宋体" w:cs="宋体"/>
          <w:color w:val="auto"/>
          <w:sz w:val="24"/>
          <w:highlight w:val="none"/>
        </w:rPr>
        <w:t>计算一次。</w:t>
      </w:r>
    </w:p>
    <w:p>
      <w:pPr>
        <w:snapToGrid w:val="0"/>
        <w:ind w:firstLine="480" w:firstLineChars="200"/>
        <w:rPr>
          <w:rFonts w:hint="eastAsia" w:ascii="宋体" w:hAnsi="宋体" w:eastAsia="宋体" w:cs="宋体"/>
          <w:color w:val="auto"/>
          <w:sz w:val="24"/>
          <w:highlight w:val="none"/>
        </w:rPr>
      </w:pPr>
      <w:bookmarkStart w:id="151" w:name="_Hlk72395723"/>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bookmarkStart w:id="152" w:name="_Hlk72395743"/>
      <w:r>
        <w:rPr>
          <w:rFonts w:hint="eastAsia" w:ascii="宋体" w:hAnsi="宋体" w:eastAsia="宋体" w:cs="宋体"/>
          <w:color w:val="auto"/>
          <w:sz w:val="24"/>
          <w:highlight w:val="none"/>
        </w:rPr>
        <w:t xml:space="preserve">5  </w:t>
      </w:r>
      <w:bookmarkEnd w:id="151"/>
      <w:bookmarkEnd w:id="152"/>
      <w:r>
        <w:rPr>
          <w:rFonts w:hint="eastAsia" w:ascii="宋体" w:hAnsi="宋体" w:eastAsia="宋体" w:cs="宋体"/>
          <w:color w:val="auto"/>
          <w:sz w:val="24"/>
          <w:highlight w:val="none"/>
        </w:rPr>
        <w:t>奖项、标准化工地的专业类别认定</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信用评价</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  设计单位信用评价</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设计单位信用评价</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rPr>
        <w:t>提交投标文件截止之时最新公布的信用评价</w:t>
      </w:r>
      <w:r>
        <w:rPr>
          <w:rFonts w:hint="eastAsia" w:ascii="宋体" w:hAnsi="宋体" w:eastAsia="宋体" w:cs="宋体"/>
          <w:color w:val="auto"/>
          <w:sz w:val="24"/>
          <w:highlight w:val="none"/>
          <w:lang w:val="en-US" w:eastAsia="zh-CN"/>
        </w:rPr>
        <w:t>信息为准</w:t>
      </w:r>
      <w:r>
        <w:rPr>
          <w:rFonts w:hint="eastAsia" w:ascii="宋体" w:hAnsi="宋体" w:eastAsia="宋体" w:cs="宋体"/>
          <w:color w:val="auto"/>
          <w:sz w:val="24"/>
          <w:highlight w:val="none"/>
        </w:rPr>
        <w:t>。评标时以在“湖南省智慧住建云—湖南省建筑市场监管公共服务平台”中查询的结果为准。</w:t>
      </w:r>
      <w:r>
        <w:rPr>
          <w:rFonts w:hint="eastAsia" w:ascii="宋体" w:hAnsi="宋体" w:eastAsia="宋体" w:cs="宋体"/>
          <w:color w:val="auto"/>
          <w:sz w:val="24"/>
          <w:highlight w:val="none"/>
          <w:lang w:val="en-US" w:eastAsia="zh-CN"/>
        </w:rPr>
        <w:t>湖南省</w:t>
      </w: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信用评价结果</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之前，招标评标过程中投标人信用评价分值统一计100分，设计单位存在信用评价不良信用信息的，按照下列不良信用信息</w:t>
      </w:r>
      <w:r>
        <w:rPr>
          <w:rFonts w:hint="eastAsia" w:ascii="宋体" w:hAnsi="宋体" w:eastAsia="宋体" w:cs="宋体"/>
          <w:color w:val="auto"/>
          <w:sz w:val="24"/>
          <w:highlight w:val="none"/>
          <w:lang w:val="en-US" w:eastAsia="zh-CN"/>
        </w:rPr>
        <w:t>扣分标准扣分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严重失信行为名单（</w:t>
      </w:r>
      <w:r>
        <w:rPr>
          <w:rFonts w:hint="eastAsia" w:ascii="宋体" w:hAnsi="宋体" w:eastAsia="宋体" w:cs="宋体"/>
          <w:color w:val="auto"/>
          <w:sz w:val="24"/>
          <w:highlight w:val="none"/>
          <w:lang w:val="en-US" w:eastAsia="zh-CN"/>
        </w:rPr>
        <w:t>含失信黑名单，下同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扣8分、刑事处罚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扣2分、失信被执行人</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扣1分、行政处罚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扣0.5分、严重不良行为记录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扣0.5分、一般不良行为记录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扣0.3分。湖南省行政区域内的不良行为记录以湖南省住房和城乡建设厅</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的结果为准；湖南省行政区域外的不良行为记录以全国建筑市场监管公共服务平台</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  施工单位信用评价</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2.2.1  施工单位信用评价以提交投标文件截止之时“湖南省智慧住建云—湖南省建筑市场监管公共服务平台”最新公布的信息为准，无查询结果的，投标时按照施工单位信用评价得分处于末位的合格投标人的分值计取；省外企业无施工单位信用评价查询结果的，可以提供企业注册地省级住房和城乡建设部门提供的施工单位信用评价结果（百分制）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2.2.3  招标项目为专业工程、园林绿化工程的，评标时投标人的信用评价分值统一计100分。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类似工程业绩规定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3.1  招标人可以根据项目实际情况选取0-3个类似工程业绩纳入评审。</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评审依据：以投标文件中提供的中标通知书（招标工程提交）、合同和竣工验收资料以及本项目答疑文件明确可以作为评审依据的资料的复印件为准，并提供“湖南省智慧住建云—湖南省建筑市场监管公共服务平台”或者“全国建筑市场监管公共服务平台”上体现其作为相应设计人或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以上资料均不能明确区分的，由评标委员会进行认定。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3.3  评审期限：3年，自工程竣工验收文件中建设单位签字或盖章之日起计算。类似工程业绩评审依据中竣工验收备案表未体现建设单位签字或盖章之日的，以竣工验收备案表“竣工验收日期”栏中注明的时间为准。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F=(K/A)×4＋ [1-KP/（K+KP）] ×4＋（AP1×0.1+AP2×0.2+AP3×0.3+AP4×0.4）×2</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 企业季度考评在建工地宗数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 企业季度考评优良工地宗数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KP: 全省所有企业的季度考评优良工地平均数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AP1 、AP2 、AP3 、AP4：企业考评季度之前连续四个季度考评优良比例（K/A，K或者A为0时，该项数据计0分）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施工项目季度考评综合优良率得分以提交投标文件截止之时“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招标项目为专业工程、园林绿化工程的，评标时投标人的施工项目季度考评综合优良率统一计满分。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联合体中同一类型(专业)的设计或施工企业有两家以上的,奖项、标准化工地、绿色科技创新指标、加分业绩、信用评价、综合优良率得分分别为该类型(专业)联合体各方得分的平均值。</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项目存在不同类型工程内容的,招标人应根据项目实际情况在招标文件中明确主要类型（专业）,设置项目奖项、标准化工地、绿色科技创新指标、加分业绩、信用评价、综合优良率的指标标准按照主要类型(专业)的规模,其他指标标准和相关要求按照整个招标项目的规模。奖项、标准化工地、绿色科技创新指标、加分业绩、信用评价、综合优良率得分为联合体主要类型(专业)单位的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 拟任工程总承包负责人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6.1.1  按照以下不良信用信息扣分标准扣分，严重失信行为名单每次扣10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  拟任工程总承包负责人及施工负责人在建情况以投标截止时在“湖南省建筑工程监管信息平台”查询信息为准，有在其他项目任关键岗位人员情形的，评标委员会应当否决其投标。</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投标截止时为准，拟任工程总承包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公示明确的公示期满之前，拟任工程总承包负责人及施工负责人不能按时到岗履职的（含不能从其他项目按期撤离的），招标人取消其中标候选人资格，并提请住房和城乡建设主管部门按规定予以信用评价扣分。中标通知书发放后，拟任工程总承包负责人及施工负责人不能按时到岗履职的（含不能从其他项目按期撤离的），招标人取消其中标人资格，并提请住房和城乡建设主管部门按规定记录一般不良行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7.施工单位、设计单位及拟任工程总承包负责人不良信用信息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7.1 评审依据及扣分有效期</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 失信被执行人：以中国执行信息公开网公布的信息为准，自结果公布之日起6个月有效；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行政处罚：以行政处罚决定书为准。罚款10万元以上处罚的，自结果公布之日起3个月有效；其他罚款以上行政处罚的，自结果公布之日起6个月有效；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刑事处罚：以刑事处罚决定书为准，自结果公布之日起1年有效；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严重失信行为名单：以省公管办或省住房和城乡建设厅公布的相关文件为准，自结果公布之日起1年有效。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上述同一违法违规事项受到刑事处罚、行政处罚、不良行为记录的，按照最高处罚决定的分值扣分。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 加分项目以投标文件中提供的相应证明材料为准，未提供相应材料或材料提供不全或不符合要求的，不加分。</w:t>
      </w:r>
    </w:p>
    <w:p>
      <w:pPr>
        <w:widowControl/>
        <w:shd w:val="clear" w:color="auto" w:fill="FFFFFF"/>
        <w:snapToGrid w:val="0"/>
        <w:spacing w:line="520" w:lineRule="exact"/>
        <w:jc w:val="both"/>
        <w:rPr>
          <w:rFonts w:hint="eastAsia" w:ascii="宋体" w:hAnsi="宋体" w:eastAsia="宋体" w:cs="宋体"/>
          <w:b/>
          <w:color w:val="auto"/>
          <w:kern w:val="0"/>
          <w:sz w:val="21"/>
          <w:szCs w:val="21"/>
          <w:highlight w:val="none"/>
        </w:rPr>
      </w:pPr>
      <w:r>
        <w:rPr>
          <w:rFonts w:hint="eastAsia" w:ascii="宋体" w:hAnsi="宋体" w:eastAsia="宋体" w:cs="宋体"/>
          <w:color w:val="auto"/>
          <w:sz w:val="18"/>
          <w:highlight w:val="none"/>
        </w:rPr>
        <w:br w:type="page"/>
      </w:r>
      <w:r>
        <w:rPr>
          <w:rFonts w:hint="eastAsia" w:ascii="宋体" w:hAnsi="宋体" w:eastAsia="宋体" w:cs="宋体"/>
          <w:color w:val="auto"/>
          <w:sz w:val="18"/>
          <w:highlight w:val="none"/>
          <w:lang w:val="en-US" w:eastAsia="zh-CN"/>
        </w:rPr>
        <w:t xml:space="preserve">承前页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0"/>
          <w:sz w:val="21"/>
          <w:szCs w:val="21"/>
          <w:highlight w:val="none"/>
        </w:rPr>
        <w:t>投标报价评审表</w:t>
      </w:r>
    </w:p>
    <w:p>
      <w:pPr>
        <w:widowControl/>
        <w:shd w:val="clear" w:color="auto" w:fill="FFFFFF"/>
        <w:ind w:firstLine="422" w:firstLineChars="200"/>
        <w:rPr>
          <w:rFonts w:hint="eastAsia" w:ascii="宋体" w:hAnsi="宋体" w:eastAsia="宋体" w:cs="宋体"/>
          <w:b/>
          <w:color w:val="auto"/>
          <w:kern w:val="0"/>
          <w:szCs w:val="21"/>
          <w:highlight w:val="none"/>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134"/>
        <w:gridCol w:w="2126"/>
        <w:gridCol w:w="1660"/>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计分方式</w:t>
            </w:r>
          </w:p>
        </w:tc>
        <w:tc>
          <w:tcPr>
            <w:tcW w:w="43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100-100L</w:t>
            </w:r>
          </w:p>
        </w:tc>
        <w:tc>
          <w:tcPr>
            <w:tcW w:w="4367"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1953895</wp:posOffset>
                      </wp:positionH>
                      <wp:positionV relativeFrom="paragraph">
                        <wp:posOffset>72390</wp:posOffset>
                      </wp:positionV>
                      <wp:extent cx="635" cy="385445"/>
                      <wp:effectExtent l="4445" t="0" r="5715" b="3175"/>
                      <wp:wrapNone/>
                      <wp:docPr id="3" name="直线 3"/>
                      <wp:cNvGraphicFramePr/>
                      <a:graphic xmlns:a="http://schemas.openxmlformats.org/drawingml/2006/main">
                        <a:graphicData uri="http://schemas.microsoft.com/office/word/2010/wordprocessingShape">
                          <wps:wsp>
                            <wps:cNvCnPr/>
                            <wps:spPr>
                              <a:xfrm flipH="1" flipV="1">
                                <a:off x="0" y="0"/>
                                <a:ext cx="635" cy="38544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直线 3" o:spid="_x0000_s1026" o:spt="20" style="position:absolute;left:0pt;flip:x y;margin-left:153.85pt;margin-top:5.7pt;height:30.35pt;width:0.05pt;z-index:251661312;mso-width-relative:page;mso-height-relative:page;" filled="f" stroked="t" coordsize="21600,21600" o:gfxdata="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ZbHJ1QAAAAkBAAAPAAAAAAAAAAEAIAAAACIAAABkcnMvZG93bnJldi54bWxQ&#10;SwECFAAUAAAACACHTuJAKUh83PoBAAD6AwAADgAAAAAAAAABACAAAAAkAQAAZHJzL2Uyb0RvYy54&#10;bWxQSwUGAAAAAAYABgBZAQAAkAU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67310</wp:posOffset>
                      </wp:positionV>
                      <wp:extent cx="635" cy="385445"/>
                      <wp:effectExtent l="4445" t="0" r="5715" b="3175"/>
                      <wp:wrapNone/>
                      <wp:docPr id="1" name="直线 3"/>
                      <wp:cNvGraphicFramePr/>
                      <a:graphic xmlns:a="http://schemas.openxmlformats.org/drawingml/2006/main">
                        <a:graphicData uri="http://schemas.microsoft.com/office/word/2010/wordprocessingShape">
                          <wps:wsp>
                            <wps:cNvCnPr/>
                            <wps:spPr>
                              <a:xfrm flipH="1" flipV="1">
                                <a:off x="0" y="0"/>
                                <a:ext cx="635" cy="38544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直线 3" o:spid="_x0000_s1026" o:spt="20" style="position:absolute;left:0pt;flip:x y;margin-left:39.85pt;margin-top:5.3pt;height:30.35pt;width:0.05pt;z-index:251659264;mso-width-relative:page;mso-height-relative:page;" filled="f" stroked="t" coordsize="21600,21600" o:gfxdata="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Ji781AAAAAcBAAAPAAAAAAAAAAEAIAAAACIAAABkcnMvZG93bnJldi54bWxQSwEC&#10;FAAUAAAACACHTuJAFh4lofgBAAD6AwAADgAAAAAAAAABACAAAAAjAQAAZHJzL2Uyb0RvYy54bWxQ&#10;SwUGAAAAAAYABgBZAQAAjQU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244475</wp:posOffset>
                      </wp:positionV>
                      <wp:extent cx="1205865" cy="635"/>
                      <wp:effectExtent l="0" t="0" r="0" b="0"/>
                      <wp:wrapNone/>
                      <wp:docPr id="2" name="直线 2"/>
                      <wp:cNvGraphicFramePr/>
                      <a:graphic xmlns:a="http://schemas.openxmlformats.org/drawingml/2006/main">
                        <a:graphicData uri="http://schemas.microsoft.com/office/word/2010/wordprocessingShape">
                          <wps:wsp>
                            <wps:cNvCnPr/>
                            <wps:spPr>
                              <a:xfrm flipV="1">
                                <a:off x="0" y="0"/>
                                <a:ext cx="1205865" cy="635"/>
                              </a:xfrm>
                              <a:prstGeom prst="straightConnector1">
                                <a:avLst/>
                              </a:prstGeom>
                              <a:ln w="9525" cap="flat" cmpd="sng">
                                <a:solidFill>
                                  <a:srgbClr val="000000"/>
                                </a:solidFill>
                                <a:prstDash val="solid"/>
                                <a:headEnd type="none" w="med" len="med"/>
                                <a:tailEnd type="none" w="med" len="med"/>
                              </a:ln>
                            </wps:spPr>
                            <wps:bodyPr wrap="square" upright="0"/>
                          </wps:wsp>
                        </a:graphicData>
                      </a:graphic>
                    </wp:anchor>
                  </w:drawing>
                </mc:Choice>
                <mc:Fallback>
                  <w:pict>
                    <v:shape id="直线 2" o:spid="_x0000_s1026" o:spt="32" type="#_x0000_t32" style="position:absolute;left:0pt;flip:y;margin-left:50.5pt;margin-top:19.25pt;height:0.05pt;width:94.95pt;z-index:251660288;mso-width-relative:page;mso-height-relative:page;" filled="f" stroked="t" coordsize="21600,21600" o:gfxdata="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qQ3rWAAAACQEAAA8AAAAAAAAAAQAgAAAAIgAAAGRycy9kb3ducmV2&#10;LnhtbFBLAQIUABQAAAAIAIdO4kDhog0L/gEAAAMEAAAOAAAAAAAAAAEAIAAAACU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b/>
                <w:color w:val="auto"/>
                <w:sz w:val="21"/>
                <w:szCs w:val="21"/>
                <w:highlight w:val="none"/>
              </w:rPr>
              <w:t>投标报价 - 基准价</w:t>
            </w:r>
          </w:p>
          <w:p>
            <w:pPr>
              <w:keepNext w:val="0"/>
              <w:keepLines w:val="0"/>
              <w:suppressLineNumbers w:val="0"/>
              <w:spacing w:before="0" w:beforeAutospacing="0" w:after="0" w:afterAutospacing="0" w:line="280" w:lineRule="exact"/>
              <w:ind w:left="0" w:righ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L=                      ×100%</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基准价</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100-0.5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100L</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bl>
    <w:p>
      <w:pPr>
        <w:widowControl/>
        <w:shd w:val="clear" w:color="auto" w:fill="FFFFFF"/>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 Y= A×(1-α) ×60%+B×(1-β)×40%</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其中： A——进入报价评审环节的有效投标报价中，大于或等于X（1－10%）的报价的算术平均值</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X——进入报价评审环节的有效投标报价的算术平均值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）／n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n——进入报价评审环节的投标人个数</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——进入报价评审环节的投标人的有效投标报价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B——最高投标限价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α——0、1%、2%、3%、4%，开标时随机抽取确定；</w:t>
      </w:r>
    </w:p>
    <w:p>
      <w:pPr>
        <w:widowControl/>
        <w:shd w:val="clear" w:color="auto" w:fill="FFFFFF"/>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β—— 4%、5%、6%、7%、8%，开标时随机抽取确定。</w:t>
      </w:r>
    </w:p>
    <w:p>
      <w:pPr>
        <w:ind w:firstLine="210" w:firstLineChars="100"/>
        <w:rPr>
          <w:color w:val="auto"/>
          <w:szCs w:val="21"/>
          <w:highlight w:val="none"/>
        </w:rPr>
      </w:pPr>
    </w:p>
    <w:p>
      <w:pPr>
        <w:jc w:val="both"/>
        <w:rPr>
          <w:rFonts w:eastAsia="黑体"/>
          <w:bCs/>
          <w:color w:val="auto"/>
          <w:sz w:val="21"/>
          <w:szCs w:val="21"/>
          <w:highlight w:val="none"/>
        </w:rPr>
        <w:sectPr>
          <w:footerReference r:id="rId8" w:type="default"/>
          <w:type w:val="continuous"/>
          <w:pgSz w:w="11906" w:h="16838"/>
          <w:pgMar w:top="1440" w:right="1440" w:bottom="1440" w:left="1440" w:header="850" w:footer="1020" w:gutter="0"/>
          <w:cols w:space="720" w:num="1"/>
          <w:titlePg/>
          <w:docGrid w:linePitch="326" w:charSpace="0"/>
        </w:sectPr>
      </w:pPr>
    </w:p>
    <w:p>
      <w:pPr>
        <w:jc w:val="center"/>
        <w:rPr>
          <w:rFonts w:eastAsia="黑体"/>
          <w:bCs/>
          <w:color w:val="auto"/>
          <w:sz w:val="30"/>
          <w:highlight w:val="none"/>
        </w:rPr>
      </w:pPr>
      <w:r>
        <w:rPr>
          <w:rFonts w:eastAsia="黑体"/>
          <w:bCs/>
          <w:color w:val="auto"/>
          <w:sz w:val="30"/>
          <w:highlight w:val="none"/>
        </w:rPr>
        <w:t>评标办法</w:t>
      </w:r>
    </w:p>
    <w:p>
      <w:pPr>
        <w:rPr>
          <w:rFonts w:eastAsia="黑体"/>
          <w:bCs/>
          <w:color w:val="auto"/>
          <w:sz w:val="30"/>
          <w:highlight w:val="none"/>
        </w:rPr>
      </w:pPr>
    </w:p>
    <w:p>
      <w:pPr>
        <w:spacing w:line="360" w:lineRule="auto"/>
        <w:ind w:firstLine="420" w:firstLineChars="200"/>
        <w:rPr>
          <w:color w:val="auto"/>
          <w:szCs w:val="21"/>
          <w:highlight w:val="none"/>
        </w:rPr>
      </w:pPr>
      <w:r>
        <w:rPr>
          <w:color w:val="auto"/>
          <w:szCs w:val="21"/>
          <w:highlight w:val="none"/>
        </w:rPr>
        <w:t>本次评标采用</w:t>
      </w:r>
      <w:r>
        <w:rPr>
          <w:color w:val="auto"/>
          <w:highlight w:val="none"/>
        </w:rPr>
        <w:t>综合评估法。评标委员会对满足招标文件实质要求的投标文件，根据规定的评分标准进行评审计分</w:t>
      </w:r>
      <w:r>
        <w:rPr>
          <w:rFonts w:hint="eastAsia"/>
          <w:color w:val="auto"/>
          <w:highlight w:val="none"/>
        </w:rPr>
        <w:t>。</w:t>
      </w:r>
      <w:r>
        <w:rPr>
          <w:color w:val="auto"/>
          <w:szCs w:val="21"/>
          <w:highlight w:val="none"/>
        </w:rPr>
        <w:t>按</w:t>
      </w:r>
      <w:r>
        <w:rPr>
          <w:rFonts w:hint="eastAsia"/>
          <w:color w:val="auto"/>
          <w:szCs w:val="21"/>
          <w:highlight w:val="none"/>
        </w:rPr>
        <w:t>照</w:t>
      </w:r>
      <w:r>
        <w:rPr>
          <w:color w:val="auto"/>
          <w:szCs w:val="21"/>
          <w:highlight w:val="none"/>
        </w:rPr>
        <w:t>评标总得分由高到低的顺序推荐中标候选人。</w:t>
      </w:r>
    </w:p>
    <w:p>
      <w:pPr>
        <w:pStyle w:val="4"/>
        <w:keepLines/>
        <w:widowControl w:val="0"/>
        <w:jc w:val="left"/>
        <w:rPr>
          <w:rFonts w:eastAsia="黑体"/>
          <w:b w:val="0"/>
          <w:bCs w:val="0"/>
          <w:color w:val="auto"/>
          <w:sz w:val="28"/>
          <w:szCs w:val="28"/>
          <w:highlight w:val="none"/>
        </w:rPr>
      </w:pPr>
      <w:bookmarkStart w:id="153" w:name="_Toc69199918"/>
      <w:r>
        <w:rPr>
          <w:rFonts w:eastAsia="黑体"/>
          <w:b w:val="0"/>
          <w:bCs w:val="0"/>
          <w:color w:val="auto"/>
          <w:sz w:val="28"/>
          <w:szCs w:val="28"/>
          <w:highlight w:val="none"/>
        </w:rPr>
        <w:t>1.评审标准</w:t>
      </w:r>
      <w:bookmarkEnd w:id="153"/>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 形式评审标准：见评标办法前附表。</w:t>
      </w:r>
    </w:p>
    <w:p>
      <w:pPr>
        <w:spacing w:line="348"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.2 资格评审标准：见评标办法前附表</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已进行资格预审的，见本招标项目资格预审文件第三章“资格审查办法”详细审查标准</w:t>
      </w:r>
      <w:r>
        <w:rPr>
          <w:rFonts w:hint="eastAsia" w:ascii="Times New Roman" w:hAnsi="Times New Roman" w:eastAsia="宋体" w:cs="Times New Roman"/>
          <w:color w:val="auto"/>
          <w:highlight w:val="none"/>
        </w:rPr>
        <w:t>。</w:t>
      </w:r>
    </w:p>
    <w:p>
      <w:pPr>
        <w:spacing w:line="348" w:lineRule="auto"/>
        <w:ind w:firstLine="420" w:firstLineChars="200"/>
        <w:rPr>
          <w:color w:val="auto"/>
          <w:highlight w:val="none"/>
        </w:rPr>
      </w:pPr>
      <w:r>
        <w:rPr>
          <w:color w:val="auto"/>
          <w:highlight w:val="none"/>
        </w:rPr>
        <w:t>1.3 响应性评审标准：见评标办法前附表。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1.4</w:t>
      </w:r>
      <w:r>
        <w:rPr>
          <w:rFonts w:hint="eastAsia"/>
          <w:color w:val="auto"/>
          <w:szCs w:val="21"/>
          <w:highlight w:val="none"/>
        </w:rPr>
        <w:t>技术方案评审标准</w:t>
      </w:r>
      <w:r>
        <w:rPr>
          <w:color w:val="auto"/>
          <w:szCs w:val="21"/>
          <w:highlight w:val="none"/>
        </w:rPr>
        <w:t>：见评标办法前附表；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1.5</w:t>
      </w:r>
      <w:r>
        <w:rPr>
          <w:rFonts w:hint="eastAsia" w:ascii="宋体" w:hAnsi="宋体"/>
          <w:color w:val="auto"/>
          <w:szCs w:val="21"/>
          <w:highlight w:val="none"/>
        </w:rPr>
        <w:t>企业资信及履约能力评审标准</w:t>
      </w:r>
      <w:r>
        <w:rPr>
          <w:color w:val="auto"/>
          <w:szCs w:val="21"/>
          <w:highlight w:val="none"/>
        </w:rPr>
        <w:t>：见评标办法前附表；</w:t>
      </w:r>
    </w:p>
    <w:p>
      <w:pPr>
        <w:spacing w:line="360" w:lineRule="auto"/>
        <w:ind w:firstLine="420" w:firstLineChars="200"/>
        <w:rPr>
          <w:rFonts w:hint="eastAsia"/>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pPr>
        <w:pStyle w:val="4"/>
        <w:keepLines/>
        <w:widowControl w:val="0"/>
        <w:jc w:val="left"/>
        <w:rPr>
          <w:rFonts w:eastAsia="黑体"/>
          <w:b w:val="0"/>
          <w:bCs w:val="0"/>
          <w:color w:val="auto"/>
          <w:sz w:val="28"/>
          <w:szCs w:val="28"/>
          <w:highlight w:val="none"/>
        </w:rPr>
      </w:pPr>
      <w:bookmarkStart w:id="154" w:name="_Toc9178535"/>
      <w:bookmarkStart w:id="155" w:name="_Toc69199919"/>
      <w:r>
        <w:rPr>
          <w:rFonts w:eastAsia="黑体"/>
          <w:b w:val="0"/>
          <w:bCs w:val="0"/>
          <w:color w:val="auto"/>
          <w:sz w:val="28"/>
          <w:szCs w:val="28"/>
          <w:highlight w:val="none"/>
        </w:rPr>
        <w:t>2.评审程序</w:t>
      </w:r>
      <w:bookmarkEnd w:id="154"/>
      <w:bookmarkEnd w:id="155"/>
      <w:r>
        <w:rPr>
          <w:rFonts w:hint="eastAsia" w:eastAsia="黑体"/>
          <w:b w:val="0"/>
          <w:bCs w:val="0"/>
          <w:color w:val="auto"/>
          <w:sz w:val="28"/>
          <w:szCs w:val="28"/>
          <w:highlight w:val="none"/>
          <w:lang w:val="en-US" w:eastAsia="zh-CN"/>
        </w:rPr>
        <w:t>及澄清</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 xml:space="preserve">2.1 </w:t>
      </w:r>
      <w:r>
        <w:rPr>
          <w:rFonts w:ascii="Times New Roman" w:hAnsi="Times New Roman" w:eastAsia="黑体"/>
          <w:b w:val="0"/>
          <w:bCs w:val="0"/>
          <w:color w:val="auto"/>
          <w:sz w:val="24"/>
          <w:highlight w:val="none"/>
          <w:lang w:val="en-US"/>
        </w:rPr>
        <w:t>评审</w:t>
      </w:r>
      <w:r>
        <w:rPr>
          <w:rFonts w:hint="eastAsia" w:ascii="Times New Roman" w:hAnsi="Times New Roman" w:eastAsia="黑体"/>
          <w:b w:val="0"/>
          <w:bCs w:val="0"/>
          <w:color w:val="auto"/>
          <w:sz w:val="24"/>
          <w:highlight w:val="none"/>
          <w:lang w:val="en-US" w:eastAsia="zh-CN"/>
        </w:rPr>
        <w:t>程序</w:t>
      </w:r>
    </w:p>
    <w:p>
      <w:pPr>
        <w:shd w:val="clear" w:color="auto" w:fill="FFFFFF"/>
        <w:ind w:firstLine="420" w:firstLineChars="200"/>
        <w:rPr>
          <w:color w:val="auto"/>
          <w:kern w:val="0"/>
          <w:szCs w:val="32"/>
          <w:highlight w:val="none"/>
        </w:rPr>
      </w:pPr>
      <w:r>
        <w:rPr>
          <w:rFonts w:hint="eastAsia"/>
          <w:color w:val="auto"/>
          <w:kern w:val="0"/>
          <w:szCs w:val="32"/>
          <w:highlight w:val="none"/>
        </w:rPr>
        <w:t>1．</w:t>
      </w:r>
      <w:r>
        <w:rPr>
          <w:color w:val="auto"/>
          <w:kern w:val="0"/>
          <w:szCs w:val="32"/>
          <w:highlight w:val="none"/>
        </w:rPr>
        <w:t>技术方案评审。</w:t>
      </w:r>
    </w:p>
    <w:p>
      <w:pPr>
        <w:shd w:val="clear" w:color="auto" w:fill="FFFFFF"/>
        <w:ind w:firstLine="420" w:firstLineChars="200"/>
        <w:rPr>
          <w:color w:val="auto"/>
          <w:kern w:val="0"/>
          <w:szCs w:val="32"/>
          <w:highlight w:val="none"/>
        </w:rPr>
      </w:pPr>
      <w:r>
        <w:rPr>
          <w:rFonts w:hint="eastAsia"/>
          <w:color w:val="auto"/>
          <w:kern w:val="0"/>
          <w:szCs w:val="32"/>
          <w:highlight w:val="none"/>
        </w:rPr>
        <w:t>2．</w:t>
      </w:r>
      <w:r>
        <w:rPr>
          <w:rFonts w:hint="eastAsia"/>
          <w:color w:val="auto"/>
          <w:kern w:val="0"/>
          <w:szCs w:val="32"/>
          <w:highlight w:val="none"/>
          <w:lang w:val="en-US" w:eastAsia="zh-CN"/>
        </w:rPr>
        <w:t>形式、资格、响应性评审</w:t>
      </w:r>
      <w:r>
        <w:rPr>
          <w:color w:val="auto"/>
          <w:kern w:val="0"/>
          <w:szCs w:val="32"/>
          <w:highlight w:val="none"/>
        </w:rPr>
        <w:t>。</w:t>
      </w:r>
    </w:p>
    <w:p>
      <w:pPr>
        <w:shd w:val="clear" w:color="auto" w:fill="FFFFFF"/>
        <w:ind w:firstLine="420" w:firstLineChars="200"/>
        <w:rPr>
          <w:color w:val="auto"/>
          <w:kern w:val="0"/>
          <w:szCs w:val="32"/>
          <w:highlight w:val="none"/>
        </w:rPr>
      </w:pPr>
      <w:r>
        <w:rPr>
          <w:rFonts w:hint="eastAsia"/>
          <w:color w:val="auto"/>
          <w:kern w:val="0"/>
          <w:szCs w:val="32"/>
          <w:highlight w:val="none"/>
        </w:rPr>
        <w:t>3.</w:t>
      </w:r>
      <w:r>
        <w:rPr>
          <w:rFonts w:hint="eastAsia"/>
          <w:color w:val="auto"/>
          <w:kern w:val="0"/>
          <w:szCs w:val="32"/>
          <w:highlight w:val="none"/>
          <w:lang w:val="en-US" w:eastAsia="zh-CN"/>
        </w:rPr>
        <w:t xml:space="preserve"> </w:t>
      </w:r>
      <w:r>
        <w:rPr>
          <w:color w:val="auto"/>
          <w:kern w:val="0"/>
          <w:szCs w:val="32"/>
          <w:highlight w:val="none"/>
        </w:rPr>
        <w:t>企业资信及履约能力评审。</w:t>
      </w:r>
    </w:p>
    <w:p>
      <w:pPr>
        <w:shd w:val="clear" w:color="auto" w:fill="FFFFFF"/>
        <w:ind w:firstLine="420" w:firstLineChars="200"/>
        <w:rPr>
          <w:color w:val="auto"/>
          <w:kern w:val="0"/>
          <w:szCs w:val="32"/>
          <w:highlight w:val="none"/>
        </w:rPr>
      </w:pPr>
      <w:r>
        <w:rPr>
          <w:color w:val="auto"/>
          <w:kern w:val="0"/>
          <w:szCs w:val="32"/>
          <w:highlight w:val="none"/>
        </w:rPr>
        <w:t>4</w:t>
      </w:r>
      <w:r>
        <w:rPr>
          <w:rFonts w:hint="eastAsia"/>
          <w:color w:val="auto"/>
          <w:kern w:val="0"/>
          <w:szCs w:val="32"/>
          <w:highlight w:val="none"/>
        </w:rPr>
        <w:t>．确定</w:t>
      </w:r>
      <w:r>
        <w:rPr>
          <w:rFonts w:hint="eastAsia"/>
          <w:color w:val="auto"/>
          <w:kern w:val="0"/>
          <w:szCs w:val="32"/>
          <w:highlight w:val="none"/>
          <w:lang w:val="en-US" w:eastAsia="zh-CN"/>
        </w:rPr>
        <w:t>进入报价评审的</w:t>
      </w:r>
      <w:r>
        <w:rPr>
          <w:color w:val="auto"/>
          <w:kern w:val="0"/>
          <w:szCs w:val="32"/>
          <w:highlight w:val="none"/>
        </w:rPr>
        <w:t>投标人。</w:t>
      </w:r>
    </w:p>
    <w:p>
      <w:pPr>
        <w:shd w:val="clear" w:color="auto" w:fill="FFFFFF"/>
        <w:ind w:firstLine="420" w:firstLineChars="200"/>
        <w:rPr>
          <w:color w:val="auto"/>
          <w:kern w:val="0"/>
          <w:szCs w:val="32"/>
          <w:highlight w:val="none"/>
        </w:rPr>
      </w:pPr>
      <w:r>
        <w:rPr>
          <w:color w:val="auto"/>
          <w:kern w:val="0"/>
          <w:szCs w:val="32"/>
          <w:highlight w:val="none"/>
        </w:rPr>
        <w:t>5</w:t>
      </w:r>
      <w:r>
        <w:rPr>
          <w:rFonts w:hint="eastAsia"/>
          <w:color w:val="auto"/>
          <w:kern w:val="0"/>
          <w:szCs w:val="32"/>
          <w:highlight w:val="none"/>
        </w:rPr>
        <w:t>．</w:t>
      </w:r>
      <w:r>
        <w:rPr>
          <w:color w:val="auto"/>
          <w:kern w:val="0"/>
          <w:szCs w:val="32"/>
          <w:highlight w:val="none"/>
        </w:rPr>
        <w:t>报价评审。</w:t>
      </w:r>
    </w:p>
    <w:p>
      <w:pPr>
        <w:shd w:val="clear" w:color="auto" w:fill="FFFFFF"/>
        <w:ind w:firstLine="420" w:firstLineChars="200"/>
        <w:rPr>
          <w:color w:val="auto"/>
          <w:kern w:val="0"/>
          <w:szCs w:val="32"/>
          <w:highlight w:val="none"/>
        </w:rPr>
      </w:pPr>
      <w:r>
        <w:rPr>
          <w:color w:val="auto"/>
          <w:kern w:val="0"/>
          <w:szCs w:val="32"/>
          <w:highlight w:val="none"/>
        </w:rPr>
        <w:t>6</w:t>
      </w:r>
      <w:r>
        <w:rPr>
          <w:rFonts w:hint="eastAsia"/>
          <w:color w:val="auto"/>
          <w:kern w:val="0"/>
          <w:szCs w:val="32"/>
          <w:highlight w:val="none"/>
        </w:rPr>
        <w:t>．</w:t>
      </w:r>
      <w:r>
        <w:rPr>
          <w:color w:val="auto"/>
          <w:kern w:val="0"/>
          <w:szCs w:val="32"/>
          <w:highlight w:val="none"/>
        </w:rPr>
        <w:t>汇总评分结果。</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w:t>
      </w:r>
      <w:r>
        <w:rPr>
          <w:rFonts w:hint="eastAsia" w:ascii="Times New Roman" w:hAnsi="Times New Roman" w:eastAsia="黑体"/>
          <w:b w:val="0"/>
          <w:bCs w:val="0"/>
          <w:color w:val="auto"/>
          <w:sz w:val="24"/>
          <w:highlight w:val="none"/>
          <w:lang w:val="en-US" w:eastAsia="zh-CN"/>
        </w:rPr>
        <w:t>2</w:t>
      </w:r>
      <w:r>
        <w:rPr>
          <w:rFonts w:ascii="Times New Roman" w:hAnsi="Times New Roman" w:eastAsia="黑体"/>
          <w:b w:val="0"/>
          <w:bCs w:val="0"/>
          <w:color w:val="auto"/>
          <w:sz w:val="24"/>
          <w:highlight w:val="none"/>
        </w:rPr>
        <w:t xml:space="preserve"> 投标文件的澄清和补正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.1</w:t>
      </w:r>
      <w:r>
        <w:rPr>
          <w:rFonts w:hint="eastAsia"/>
          <w:color w:val="auto"/>
          <w:highlight w:val="none"/>
          <w:lang w:val="en-US" w:eastAsia="zh-CN"/>
        </w:rPr>
        <w:t xml:space="preserve"> </w:t>
      </w:r>
      <w:r>
        <w:rPr>
          <w:color w:val="auto"/>
          <w:highlight w:val="none"/>
        </w:rPr>
        <w:t>评标委员会可以书面形式要求投标人对所提交的投标文件中不明确的内容进行书面澄清</w:t>
      </w:r>
      <w:r>
        <w:rPr>
          <w:rFonts w:hint="eastAsia"/>
          <w:color w:val="auto"/>
          <w:highlight w:val="none"/>
          <w:lang w:eastAsia="zh-CN"/>
        </w:rPr>
        <w:t>、</w:t>
      </w:r>
      <w:r>
        <w:rPr>
          <w:color w:val="auto"/>
          <w:highlight w:val="none"/>
        </w:rPr>
        <w:t>说明或者补正。评标委员会不接受投标人主动提出的澄清、说明或补正。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.2 澄清、说明和补正不得改变投标文件的实质性内容。投标人的书面澄清、说明和补正属于投标文件的组成部分。</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.3 评标委员会对投标人提交的澄清、说明或补正有疑问的，可以要求投标人进一步澄清、说明或补正</w:t>
      </w:r>
      <w:r>
        <w:rPr>
          <w:rFonts w:hint="eastAsia"/>
          <w:color w:val="auto"/>
          <w:highlight w:val="none"/>
          <w:lang w:eastAsia="zh-CN"/>
        </w:rPr>
        <w:t>。</w:t>
      </w:r>
    </w:p>
    <w:p>
      <w:pPr>
        <w:spacing w:line="348" w:lineRule="auto"/>
        <w:ind w:firstLine="420" w:firstLineChars="200"/>
        <w:rPr>
          <w:color w:val="auto"/>
          <w:highlight w:val="none"/>
        </w:rPr>
      </w:pPr>
      <w:r>
        <w:rPr>
          <w:rFonts w:hint="eastAsia"/>
          <w:bCs/>
          <w:color w:val="auto"/>
          <w:szCs w:val="21"/>
          <w:highlight w:val="none"/>
          <w:lang w:val="en-US" w:eastAsia="zh-CN"/>
        </w:rPr>
        <w:t xml:space="preserve">2.2.4 </w:t>
      </w:r>
      <w:r>
        <w:rPr>
          <w:rFonts w:hint="eastAsia"/>
          <w:bCs/>
          <w:color w:val="auto"/>
          <w:szCs w:val="21"/>
          <w:highlight w:val="none"/>
        </w:rPr>
        <w:t>评审过程中，评标委员会</w:t>
      </w:r>
      <w:r>
        <w:rPr>
          <w:rFonts w:hint="eastAsia"/>
          <w:bCs/>
          <w:color w:val="auto"/>
          <w:szCs w:val="21"/>
          <w:highlight w:val="none"/>
          <w:lang w:val="en-US" w:eastAsia="zh-CN"/>
        </w:rPr>
        <w:t>拟作出否决投标决定的</w:t>
      </w:r>
      <w:r>
        <w:rPr>
          <w:rFonts w:hint="eastAsia"/>
          <w:bCs/>
          <w:color w:val="auto"/>
          <w:szCs w:val="21"/>
          <w:highlight w:val="none"/>
        </w:rPr>
        <w:t>，应</w:t>
      </w:r>
      <w:r>
        <w:rPr>
          <w:rFonts w:hint="eastAsia"/>
          <w:bCs/>
          <w:color w:val="auto"/>
          <w:szCs w:val="21"/>
          <w:highlight w:val="none"/>
          <w:lang w:val="en-US" w:eastAsia="zh-CN"/>
        </w:rPr>
        <w:t>要求投标人进行书面澄清、说明或补正（技术方案采用暗标的除外），未进行该程序的，不得作出否决投标决定，投标人未按要求进行回复的除外。</w:t>
      </w:r>
    </w:p>
    <w:p>
      <w:pPr>
        <w:pStyle w:val="4"/>
        <w:keepLines/>
        <w:widowControl w:val="0"/>
        <w:jc w:val="left"/>
        <w:rPr>
          <w:rFonts w:eastAsia="黑体"/>
          <w:b w:val="0"/>
          <w:bCs w:val="0"/>
          <w:color w:val="auto"/>
          <w:sz w:val="28"/>
          <w:szCs w:val="28"/>
          <w:highlight w:val="none"/>
        </w:rPr>
      </w:pPr>
      <w:bookmarkStart w:id="156" w:name="_Toc69199920"/>
      <w:r>
        <w:rPr>
          <w:rFonts w:eastAsia="黑体"/>
          <w:b w:val="0"/>
          <w:bCs w:val="0"/>
          <w:color w:val="auto"/>
          <w:sz w:val="28"/>
          <w:szCs w:val="28"/>
          <w:highlight w:val="none"/>
        </w:rPr>
        <w:t>3 评标结果</w:t>
      </w:r>
      <w:bookmarkEnd w:id="156"/>
    </w:p>
    <w:p>
      <w:pPr>
        <w:numPr>
          <w:ilvl w:val="0"/>
          <w:numId w:val="0"/>
        </w:numPr>
        <w:spacing w:line="360" w:lineRule="auto"/>
        <w:ind w:leftChars="0" w:firstLine="420" w:firstLineChars="200"/>
        <w:rPr>
          <w:rFonts w:hint="eastAsia"/>
          <w:bCs/>
          <w:color w:val="auto"/>
          <w:szCs w:val="21"/>
          <w:highlight w:val="none"/>
          <w:u w:val="single"/>
        </w:rPr>
      </w:pPr>
      <w:r>
        <w:rPr>
          <w:rFonts w:hint="eastAsia"/>
          <w:color w:val="auto"/>
          <w:szCs w:val="21"/>
          <w:highlight w:val="none"/>
          <w:lang w:val="en-US" w:eastAsia="zh-CN"/>
        </w:rPr>
        <w:t>3.1</w:t>
      </w:r>
      <w:r>
        <w:rPr>
          <w:color w:val="auto"/>
          <w:szCs w:val="21"/>
          <w:highlight w:val="none"/>
        </w:rPr>
        <w:t>评标委员会按照评标总得分由高到低的顺序推荐中标候选人。</w:t>
      </w:r>
      <w:r>
        <w:rPr>
          <w:rFonts w:hint="eastAsia"/>
          <w:color w:val="auto"/>
          <w:szCs w:val="21"/>
          <w:highlight w:val="none"/>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rPr>
          <w:color w:val="auto"/>
          <w:highlight w:val="none"/>
        </w:rPr>
      </w:pPr>
      <w:r>
        <w:rPr>
          <w:color w:val="auto"/>
          <w:highlight w:val="none"/>
        </w:rPr>
        <w:t>3.2 评标委员会完成评标后，向招标人提交书面评标报告。</w:t>
      </w:r>
    </w:p>
    <w:p>
      <w:pPr>
        <w:widowControl/>
        <w:jc w:val="left"/>
        <w:rPr>
          <w:color w:val="auto"/>
          <w:highlight w:val="none"/>
        </w:rPr>
      </w:pPr>
      <w:r>
        <w:rPr>
          <w:color w:val="auto"/>
          <w:highlight w:val="none"/>
        </w:rPr>
        <w:br w:type="page"/>
      </w:r>
      <w:bookmarkStart w:id="157" w:name="_Toc30067822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1.基本程序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评标准备；</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技术方案评审；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eastAsia="zh-CN"/>
        </w:rPr>
      </w:pPr>
      <w:r>
        <w:rPr>
          <w:color w:val="auto"/>
          <w:highlight w:val="none"/>
        </w:rPr>
        <w:t>（</w:t>
      </w:r>
      <w:r>
        <w:rPr>
          <w:rFonts w:hint="eastAsia"/>
          <w:color w:val="auto"/>
          <w:highlight w:val="none"/>
          <w:lang w:val="en-US" w:eastAsia="zh-CN"/>
        </w:rPr>
        <w:t>3</w:t>
      </w:r>
      <w:r>
        <w:rPr>
          <w:color w:val="auto"/>
          <w:highlight w:val="none"/>
        </w:rPr>
        <w:t>）</w:t>
      </w:r>
      <w:r>
        <w:rPr>
          <w:rFonts w:hint="eastAsia"/>
          <w:color w:val="auto"/>
          <w:highlight w:val="none"/>
        </w:rPr>
        <w:t>形式、资格、响应性评审</w:t>
      </w:r>
      <w:r>
        <w:rPr>
          <w:rFonts w:hint="eastAsia"/>
          <w:color w:val="auto"/>
          <w:highlight w:val="none"/>
          <w:lang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4）企业资信及履约能力评审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（5）投标报价</w:t>
      </w:r>
      <w:r>
        <w:rPr>
          <w:color w:val="auto"/>
          <w:highlight w:val="none"/>
        </w:rPr>
        <w:t>评审</w:t>
      </w:r>
      <w:r>
        <w:rPr>
          <w:rFonts w:hint="eastAsia"/>
          <w:color w:val="auto"/>
          <w:highlight w:val="none"/>
          <w:lang w:val="en-US"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w:t>
      </w:r>
      <w:r>
        <w:rPr>
          <w:rFonts w:hint="eastAsia"/>
          <w:color w:val="auto"/>
          <w:highlight w:val="none"/>
          <w:lang w:val="en-US" w:eastAsia="zh-CN"/>
        </w:rPr>
        <w:t>6</w:t>
      </w:r>
      <w:r>
        <w:rPr>
          <w:color w:val="auto"/>
          <w:highlight w:val="none"/>
        </w:rPr>
        <w:t>）推荐中标候选人及提交评标报告。</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2.评标准备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2.1评标委员会成员签到</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评标委员会成员到达评标现场时应在签到表上签到以证明其出席。</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2.2评标委员会的分工</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评标委员会首先推举一名评标委员会主任。评标委员会主任负责主持评标活动。</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2.3熟悉文件资料</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2.3.1评标委员会主任应组织评标委员会成员认真研究招标文件，了解和熟悉招标</w:t>
      </w:r>
      <w:r>
        <w:rPr>
          <w:rFonts w:hint="eastAsia"/>
          <w:color w:val="auto"/>
          <w:highlight w:val="none"/>
        </w:rPr>
        <w:t>的</w:t>
      </w:r>
      <w:r>
        <w:rPr>
          <w:color w:val="auto"/>
          <w:highlight w:val="none"/>
        </w:rPr>
        <w:t>目</w:t>
      </w:r>
      <w:r>
        <w:rPr>
          <w:rFonts w:hint="eastAsia"/>
          <w:color w:val="auto"/>
          <w:highlight w:val="none"/>
        </w:rPr>
        <w:t>标</w:t>
      </w:r>
      <w:r>
        <w:rPr>
          <w:color w:val="auto"/>
          <w:highlight w:val="none"/>
        </w:rPr>
        <w:t>、招标范围</w:t>
      </w:r>
      <w:r>
        <w:rPr>
          <w:rFonts w:hint="eastAsia"/>
          <w:color w:val="auto"/>
          <w:highlight w:val="none"/>
        </w:rPr>
        <w:t>和性质</w:t>
      </w:r>
      <w:r>
        <w:rPr>
          <w:color w:val="auto"/>
          <w:highlight w:val="none"/>
        </w:rPr>
        <w:t>、</w:t>
      </w:r>
      <w:r>
        <w:rPr>
          <w:rFonts w:hint="eastAsia"/>
          <w:color w:val="auto"/>
          <w:highlight w:val="none"/>
        </w:rPr>
        <w:t>主要技术要求、标准和商务条款、质量标准和工程总承包工期要求</w:t>
      </w:r>
      <w:r>
        <w:rPr>
          <w:color w:val="auto"/>
          <w:highlight w:val="none"/>
        </w:rPr>
        <w:t>等，掌握评标标准和方法。未在招标文件中规定的标准和方法不得作为评标的依据。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2.3.2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2.4</w:t>
      </w:r>
      <w:r>
        <w:rPr>
          <w:rFonts w:hint="eastAsia"/>
          <w:color w:val="auto"/>
          <w:szCs w:val="21"/>
          <w:highlight w:val="none"/>
        </w:rPr>
        <w:t>技术方案（</w:t>
      </w:r>
      <w:r>
        <w:rPr>
          <w:color w:val="auto"/>
          <w:szCs w:val="21"/>
          <w:highlight w:val="none"/>
        </w:rPr>
        <w:t>暗标</w:t>
      </w:r>
      <w:r>
        <w:rPr>
          <w:rFonts w:hint="eastAsia"/>
          <w:color w:val="auto"/>
          <w:szCs w:val="21"/>
          <w:highlight w:val="none"/>
        </w:rPr>
        <w:t>）</w:t>
      </w:r>
      <w:r>
        <w:rPr>
          <w:color w:val="auto"/>
          <w:szCs w:val="21"/>
          <w:highlight w:val="none"/>
        </w:rPr>
        <w:t>编号</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rPr>
        <w:t>第二章投标人须知前附表要求对技术方案采用“暗标”评审方式的，按照随机方式对投标人的技术方案进行编号。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2.5对投标文件进行基础性数据分析和整理工作（以下简称：清标）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2.5.1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2.5.2投标人应当按照评标委员会的要求，提供书面澄清说明资料并按要求进行密封，在规定的时间递交到指定地点，由评标委员会开启。</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3.</w:t>
      </w:r>
      <w:r>
        <w:rPr>
          <w:rFonts w:hint="default" w:eastAsia="黑体"/>
          <w:color w:val="auto"/>
          <w:sz w:val="24"/>
          <w:highlight w:val="none"/>
        </w:rPr>
        <w:t>技术方案</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评标委员会对所有投标人提交的技术方案进行评审。</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hint="eastAsia" w:eastAsia="黑体"/>
          <w:color w:val="auto"/>
          <w:sz w:val="24"/>
          <w:highlight w:val="none"/>
          <w:lang w:val="en-US" w:eastAsia="zh-CN"/>
        </w:rPr>
        <w:t>4.形式、资格、响应性</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eastAsia="zh-CN"/>
        </w:rPr>
        <w:t>4</w:t>
      </w:r>
      <w:r>
        <w:rPr>
          <w:color w:val="auto"/>
          <w:szCs w:val="21"/>
          <w:highlight w:val="none"/>
        </w:rPr>
        <w:t>.1形式评审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bCs/>
          <w:color w:val="auto"/>
          <w:szCs w:val="21"/>
          <w:highlight w:val="none"/>
          <w:lang w:val="en-US" w:eastAsia="zh-CN"/>
        </w:rPr>
        <w:t>4</w:t>
      </w:r>
      <w:r>
        <w:rPr>
          <w:rFonts w:hint="eastAsia"/>
          <w:bCs/>
          <w:color w:val="auto"/>
          <w:szCs w:val="21"/>
          <w:highlight w:val="none"/>
        </w:rPr>
        <w:t>.2.2资格评审过程中，评标委员会发现投标人提交的资格审查资料不全时，应当听取该投标人的说明。</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.3响应性评审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.3.1评标委员会根据评标办法前附表中规定的评审因素和评审标准，对投标人的投标文件进行响应性评审。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.3.2招标文件设定了最高投标限价的，投标人投标价格不得超出（不含等于）“投标人须知”前附表载明的最高投标限价。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.4算术错误修正</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按以下原则进行，修正的价格经投标人书面确认后具有约束力。投标人不接受修正价格的，应当否决其投标。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（1）投标文件中的大写金额与小写金额不一致的，以大写金额为准；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5</w:t>
      </w:r>
      <w:r>
        <w:rPr>
          <w:color w:val="auto"/>
          <w:szCs w:val="21"/>
          <w:highlight w:val="none"/>
        </w:rPr>
        <w:t>是否予以否决投标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.2第二章附件2-2集中列示的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条款相互抵触和矛盾时，以第二章附件2-2集中列示的为准。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default" w:eastAsia="黑体"/>
          <w:bCs/>
          <w:color w:val="auto"/>
          <w:sz w:val="24"/>
          <w:szCs w:val="21"/>
          <w:highlight w:val="none"/>
          <w:lang w:val="en-US" w:eastAsia="zh-CN"/>
        </w:rPr>
        <w:t>5</w:t>
      </w:r>
      <w:r>
        <w:rPr>
          <w:rFonts w:hint="eastAsia" w:eastAsia="黑体"/>
          <w:bCs/>
          <w:color w:val="auto"/>
          <w:sz w:val="24"/>
          <w:szCs w:val="21"/>
          <w:highlight w:val="none"/>
          <w:lang w:val="en-US" w:eastAsia="zh-CN"/>
        </w:rPr>
        <w:t>.企业资信及履约能力评审、投标报价评审</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color w:val="auto"/>
          <w:szCs w:val="21"/>
          <w:highlight w:val="none"/>
        </w:rPr>
        <w:t>评标委员会按照规定的评审因素和标准进行评审计分。</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color w:val="auto"/>
          <w:szCs w:val="21"/>
          <w:highlight w:val="none"/>
          <w:lang w:val="en-US" w:eastAsia="zh-CN"/>
        </w:rPr>
        <w:t>5.1</w:t>
      </w:r>
      <w:r>
        <w:rPr>
          <w:rFonts w:hint="eastAsia"/>
          <w:color w:val="auto"/>
          <w:szCs w:val="21"/>
          <w:highlight w:val="none"/>
        </w:rPr>
        <w:t>企业资信及履约能力</w:t>
      </w:r>
      <w:r>
        <w:rPr>
          <w:color w:val="auto"/>
          <w:szCs w:val="21"/>
          <w:highlight w:val="none"/>
        </w:rPr>
        <w:t>评审计分</w:t>
      </w:r>
      <w:r>
        <w:rPr>
          <w:rFonts w:hint="eastAsia"/>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w:t>
      </w:r>
      <w:r>
        <w:rPr>
          <w:rFonts w:hint="eastAsia" w:ascii="宋体" w:hAnsi="宋体"/>
          <w:color w:val="auto"/>
          <w:kern w:val="0"/>
          <w:highlight w:val="none"/>
        </w:rPr>
        <w:t>以低于成本报价竞争</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szCs w:val="21"/>
          <w:highlight w:val="none"/>
        </w:rPr>
        <w:t>报价评审警戒线为</w:t>
      </w:r>
      <w:r>
        <w:rPr>
          <w:color w:val="auto"/>
          <w:szCs w:val="21"/>
          <w:highlight w:val="none"/>
        </w:rPr>
        <w:t>低于进入</w:t>
      </w:r>
      <w:r>
        <w:rPr>
          <w:rFonts w:hint="eastAsia"/>
          <w:color w:val="auto"/>
          <w:szCs w:val="21"/>
          <w:highlight w:val="none"/>
        </w:rPr>
        <w:t>报价</w:t>
      </w:r>
      <w:r>
        <w:rPr>
          <w:color w:val="auto"/>
          <w:szCs w:val="21"/>
          <w:highlight w:val="none"/>
        </w:rPr>
        <w:t>评审的</w:t>
      </w:r>
      <w:r>
        <w:rPr>
          <w:rFonts w:hint="eastAsia"/>
          <w:color w:val="auto"/>
          <w:szCs w:val="21"/>
          <w:highlight w:val="none"/>
        </w:rPr>
        <w:t>合格投标人</w:t>
      </w:r>
      <w:r>
        <w:rPr>
          <w:color w:val="auto"/>
          <w:szCs w:val="21"/>
          <w:highlight w:val="none"/>
        </w:rPr>
        <w:t>投标报价算术平均值的95%</w:t>
      </w:r>
      <w:r>
        <w:rPr>
          <w:rFonts w:hint="eastAsia"/>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以判断投标报价是否低于其成本</w:t>
      </w:r>
      <w:r>
        <w:rPr>
          <w:rFonts w:hint="eastAsia"/>
          <w:color w:val="auto"/>
          <w:highlight w:val="none"/>
        </w:rPr>
        <w:t>。</w:t>
      </w:r>
      <w:r>
        <w:rPr>
          <w:rFonts w:hint="eastAsia" w:ascii="宋体" w:hAnsi="宋体"/>
          <w:color w:val="auto"/>
          <w:kern w:val="0"/>
          <w:highlight w:val="none"/>
        </w:rPr>
        <w:t>有下列情形之一的，应当判定为以低于成本报价竞争，其报价为无效报价，应当否决其投标：</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1&gt;</w:t>
      </w:r>
      <w:r>
        <w:rPr>
          <w:rFonts w:hint="default" w:ascii="Times New Roman" w:hAnsi="Times New Roman" w:eastAsia="宋体" w:cs="Times New Roman"/>
          <w:color w:val="auto"/>
          <w:sz w:val="21"/>
          <w:szCs w:val="21"/>
          <w:highlight w:val="none"/>
        </w:rPr>
        <w:t>经评审论证，认定该投标人的报价低于成本的；</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hint="default" w:ascii="Times New Roman" w:hAnsi="Times New Roman" w:eastAsia="宋体" w:cs="Times New Roman"/>
          <w:color w:val="auto"/>
          <w:sz w:val="21"/>
          <w:szCs w:val="21"/>
          <w:highlight w:val="none"/>
        </w:rPr>
        <w:t>投标报价明显低于其他投标报价，有可能低于成本的，应当要求投标人作出书面说明并提供相关证明材料。投标人不能合理说明或者不能提供相关证明材料的</w:t>
      </w:r>
      <w:r>
        <w:rPr>
          <w:rFonts w:ascii="Times New Roman" w:hAnsi="Times New Roman" w:eastAsia="宋体" w:cs="Times New Roman"/>
          <w:color w:val="auto"/>
          <w:sz w:val="21"/>
          <w:szCs w:val="21"/>
          <w:highlight w:val="none"/>
        </w:rPr>
        <w:t>，应当认定该投标人的报价低于成本</w:t>
      </w:r>
      <w:r>
        <w:rPr>
          <w:rFonts w:hint="default" w:ascii="Times New Roman" w:hAnsi="Times New Roman" w:eastAsia="宋体" w:cs="Times New Roman"/>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kern w:val="0"/>
          <w:highlight w:val="none"/>
        </w:rPr>
      </w:pPr>
      <w:r>
        <w:rPr>
          <w:rFonts w:hint="eastAsia" w:ascii="宋体" w:hAnsi="宋体"/>
          <w:color w:val="auto"/>
          <w:kern w:val="0"/>
          <w:highlight w:val="none"/>
        </w:rPr>
        <w:t>以低于成本报价竞争的，其报价为无效报价，应当否决其投标。评标委员会应将成本评审过程中，认定投标人以低于成本报价竞争等情况作出详细说明并记录在案。</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highlight w:val="none"/>
        </w:rPr>
        <w:t>&lt;</w:t>
      </w:r>
      <w:r>
        <w:rPr>
          <w:rFonts w:ascii="宋体" w:hAnsi="宋体" w:cs="宋体"/>
          <w:color w:val="auto"/>
          <w:highlight w:val="none"/>
        </w:rPr>
        <w:t>1&gt;</w:t>
      </w:r>
      <w:r>
        <w:rPr>
          <w:color w:val="auto"/>
          <w:szCs w:val="21"/>
          <w:highlight w:val="none"/>
        </w:rPr>
        <w:t>按照评标办法前附表的规定</w:t>
      </w:r>
      <w:r>
        <w:rPr>
          <w:rFonts w:hint="eastAsia"/>
          <w:color w:val="auto"/>
          <w:szCs w:val="21"/>
          <w:highlight w:val="none"/>
        </w:rPr>
        <w:t>计算本次报价评审基准价及各投标人投标报价得分</w:t>
      </w:r>
      <w:r>
        <w:rPr>
          <w:color w:val="auto"/>
          <w:szCs w:val="21"/>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ascii="Times New Roman" w:hAnsi="Times New Roman" w:eastAsia="宋体" w:cs="Times New Roman"/>
          <w:bCs/>
          <w:color w:val="auto"/>
          <w:sz w:val="21"/>
          <w:szCs w:val="21"/>
          <w:highlight w:val="none"/>
        </w:rPr>
        <w:t>投标报价小于基准价92%的，</w:t>
      </w:r>
      <w:r>
        <w:rPr>
          <w:rFonts w:hint="default" w:ascii="Times New Roman" w:hAnsi="Times New Roman" w:eastAsia="宋体" w:cs="Times New Roman"/>
          <w:bCs/>
          <w:color w:val="auto"/>
          <w:sz w:val="21"/>
          <w:szCs w:val="21"/>
          <w:highlight w:val="none"/>
        </w:rPr>
        <w:t>其</w:t>
      </w:r>
      <w:r>
        <w:rPr>
          <w:rFonts w:ascii="Times New Roman" w:hAnsi="Times New Roman" w:eastAsia="宋体" w:cs="Times New Roman"/>
          <w:bCs/>
          <w:color w:val="auto"/>
          <w:sz w:val="21"/>
          <w:szCs w:val="21"/>
          <w:highlight w:val="none"/>
        </w:rPr>
        <w:t>投标报价评审得分</w:t>
      </w:r>
      <w:r>
        <w:rPr>
          <w:rFonts w:hint="default" w:ascii="Times New Roman" w:hAnsi="Times New Roman" w:eastAsia="宋体" w:cs="Times New Roman"/>
          <w:bCs/>
          <w:color w:val="auto"/>
          <w:sz w:val="21"/>
          <w:szCs w:val="21"/>
          <w:highlight w:val="none"/>
        </w:rPr>
        <w:t>计0分</w:t>
      </w:r>
      <w:r>
        <w:rPr>
          <w:rFonts w:ascii="Times New Roman" w:hAnsi="Times New Roman" w:eastAsia="宋体" w:cs="Times New Roman"/>
          <w:bCs/>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&lt;</w:t>
      </w:r>
      <w:r>
        <w:rPr>
          <w:rFonts w:ascii="宋体" w:hAnsi="宋体" w:cs="宋体"/>
          <w:color w:val="auto"/>
          <w:highlight w:val="none"/>
        </w:rPr>
        <w:t>3&gt;</w:t>
      </w:r>
      <w:r>
        <w:rPr>
          <w:rFonts w:hint="eastAsia" w:ascii="宋体" w:hAnsi="宋体" w:cs="宋体"/>
          <w:color w:val="auto"/>
          <w:highlight w:val="none"/>
        </w:rPr>
        <w:t>计算报价得分</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按照评标办法前附表中规定的方法，计算各个</w:t>
      </w:r>
      <w:r>
        <w:rPr>
          <w:rFonts w:hint="eastAsia"/>
          <w:color w:val="auto"/>
          <w:szCs w:val="21"/>
          <w:highlight w:val="none"/>
        </w:rPr>
        <w:t>进入报价评审环节</w:t>
      </w:r>
      <w:r>
        <w:rPr>
          <w:color w:val="auto"/>
          <w:szCs w:val="21"/>
          <w:highlight w:val="none"/>
        </w:rPr>
        <w:t>并且经过评审认定为不低于其成本的投标报价的“偏差率”。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按照评标办法前附表中规定的评分标准，对照投标报价的偏差率，分别对各个投标报价进行计分。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bCs/>
          <w:color w:val="auto"/>
          <w:szCs w:val="21"/>
          <w:highlight w:val="none"/>
          <w:lang w:val="en-US" w:eastAsia="zh-CN"/>
        </w:rPr>
        <w:t>5.4</w:t>
      </w:r>
      <w:r>
        <w:rPr>
          <w:bCs/>
          <w:color w:val="auto"/>
          <w:szCs w:val="21"/>
          <w:highlight w:val="none"/>
        </w:rPr>
        <w:t>汇总评分结果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bCs/>
          <w:color w:val="auto"/>
          <w:szCs w:val="21"/>
          <w:highlight w:val="none"/>
        </w:rPr>
      </w:pPr>
      <w:r>
        <w:rPr>
          <w:bCs/>
          <w:color w:val="auto"/>
          <w:szCs w:val="21"/>
          <w:highlight w:val="none"/>
        </w:rPr>
        <w:t>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仿宋"/>
          <w:color w:val="auto"/>
          <w:kern w:val="0"/>
          <w:szCs w:val="21"/>
          <w:highlight w:val="none"/>
          <w:lang w:eastAsia="zh-CN"/>
        </w:rPr>
      </w:pPr>
      <w:r>
        <w:rPr>
          <w:rFonts w:hint="eastAsia" w:ascii="宋体" w:hAnsi="宋体"/>
          <w:bCs/>
          <w:color w:val="auto"/>
          <w:kern w:val="0"/>
          <w:szCs w:val="21"/>
          <w:highlight w:val="none"/>
        </w:rPr>
        <w:t>C=J</w:t>
      </w:r>
      <w:r>
        <w:rPr>
          <w:rFonts w:hint="eastAsia" w:ascii="宋体" w:hAnsi="宋体"/>
          <w:bCs/>
          <w:color w:val="auto"/>
          <w:kern w:val="0"/>
          <w:szCs w:val="21"/>
          <w:highlight w:val="none"/>
          <w:vertAlign w:val="subscript"/>
        </w:rPr>
        <w:t>1</w:t>
      </w:r>
      <w:r>
        <w:rPr>
          <w:rFonts w:hint="eastAsia" w:ascii="宋体" w:hAnsi="宋体"/>
          <w:bCs/>
          <w:color w:val="auto"/>
          <w:kern w:val="0"/>
          <w:szCs w:val="21"/>
          <w:highlight w:val="none"/>
        </w:rPr>
        <w:t>×D+J</w:t>
      </w:r>
      <w:r>
        <w:rPr>
          <w:rFonts w:hint="eastAsia" w:ascii="宋体" w:hAnsi="宋体"/>
          <w:bCs/>
          <w:color w:val="auto"/>
          <w:kern w:val="0"/>
          <w:szCs w:val="21"/>
          <w:highlight w:val="none"/>
          <w:vertAlign w:val="subscript"/>
        </w:rPr>
        <w:t>2</w:t>
      </w:r>
      <w:r>
        <w:rPr>
          <w:rFonts w:hint="eastAsia" w:ascii="宋体" w:hAnsi="宋体"/>
          <w:bCs/>
          <w:color w:val="auto"/>
          <w:kern w:val="0"/>
          <w:szCs w:val="21"/>
          <w:highlight w:val="none"/>
        </w:rPr>
        <w:t>×E+J</w:t>
      </w:r>
      <w:r>
        <w:rPr>
          <w:rFonts w:hint="eastAsia" w:ascii="宋体" w:hAnsi="宋体"/>
          <w:bCs/>
          <w:color w:val="auto"/>
          <w:kern w:val="0"/>
          <w:szCs w:val="21"/>
          <w:highlight w:val="none"/>
          <w:vertAlign w:val="subscript"/>
        </w:rPr>
        <w:t>3</w:t>
      </w:r>
      <w:r>
        <w:rPr>
          <w:rFonts w:hint="eastAsia" w:ascii="宋体" w:hAnsi="宋体"/>
          <w:bCs/>
          <w:color w:val="auto"/>
          <w:kern w:val="0"/>
          <w:szCs w:val="21"/>
          <w:highlight w:val="none"/>
        </w:rPr>
        <w:t>×F</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olor w:val="auto"/>
          <w:kern w:val="0"/>
          <w:szCs w:val="21"/>
          <w:highlight w:val="none"/>
        </w:rPr>
      </w:pPr>
      <w:r>
        <w:rPr>
          <w:rFonts w:hint="eastAsia" w:ascii="宋体" w:hAnsi="宋体" w:cs="仿宋"/>
          <w:color w:val="auto"/>
          <w:kern w:val="0"/>
          <w:szCs w:val="21"/>
          <w:highlight w:val="none"/>
        </w:rPr>
        <w:t>其中:</w:t>
      </w:r>
      <w:r>
        <w:rPr>
          <w:rFonts w:hint="eastAsia" w:ascii="宋体" w:hAnsi="宋体" w:cs="仿宋"/>
          <w:color w:val="auto"/>
          <w:kern w:val="0"/>
          <w:szCs w:val="21"/>
          <w:highlight w:val="none"/>
          <w:lang w:val="en-US" w:eastAsia="zh-CN"/>
        </w:rPr>
        <w:t xml:space="preserve"> </w:t>
      </w:r>
      <w:r>
        <w:rPr>
          <w:rFonts w:hint="eastAsia" w:ascii="宋体" w:hAnsi="宋体"/>
          <w:color w:val="auto"/>
          <w:kern w:val="0"/>
          <w:szCs w:val="21"/>
          <w:highlight w:val="none"/>
        </w:rPr>
        <w:t>C——评标总得分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D——技术方案评审得分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E——企业资信及履约能力</w:t>
      </w:r>
      <w:r>
        <w:rPr>
          <w:rFonts w:hint="eastAsia" w:ascii="宋体" w:hAnsi="宋体" w:cs="仿宋_GB2312"/>
          <w:color w:val="auto"/>
          <w:kern w:val="0"/>
          <w:szCs w:val="21"/>
          <w:highlight w:val="none"/>
        </w:rPr>
        <w:t>评审</w:t>
      </w:r>
      <w:r>
        <w:rPr>
          <w:rFonts w:hint="eastAsia" w:ascii="宋体" w:hAnsi="宋体"/>
          <w:color w:val="auto"/>
          <w:szCs w:val="21"/>
          <w:highlight w:val="none"/>
        </w:rPr>
        <w:t>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szCs w:val="21"/>
          <w:highlight w:val="none"/>
        </w:rPr>
      </w:pPr>
      <w:r>
        <w:rPr>
          <w:rFonts w:hint="eastAsia" w:ascii="宋体" w:hAnsi="宋体"/>
          <w:color w:val="auto"/>
          <w:kern w:val="0"/>
          <w:szCs w:val="21"/>
          <w:highlight w:val="none"/>
        </w:rPr>
        <w:t>F——</w:t>
      </w:r>
      <w:r>
        <w:rPr>
          <w:rFonts w:hint="eastAsia" w:ascii="宋体" w:hAnsi="宋体"/>
          <w:color w:val="auto"/>
          <w:szCs w:val="21"/>
          <w:highlight w:val="none"/>
        </w:rPr>
        <w:t>投标报价评审得分。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bCs/>
          <w:color w:val="auto"/>
          <w:szCs w:val="21"/>
          <w:highlight w:val="none"/>
        </w:rPr>
      </w:pPr>
      <w:r>
        <w:rPr>
          <w:rFonts w:hint="eastAsia" w:ascii="宋体" w:hAnsi="宋体"/>
          <w:color w:val="auto"/>
          <w:szCs w:val="21"/>
          <w:highlight w:val="none"/>
        </w:rPr>
        <w:t>J</w:t>
      </w:r>
      <w:r>
        <w:rPr>
          <w:rFonts w:hint="eastAsia" w:ascii="宋体" w:hAnsi="宋体"/>
          <w:bCs/>
          <w:color w:val="auto"/>
          <w:kern w:val="0"/>
          <w:szCs w:val="21"/>
          <w:highlight w:val="none"/>
          <w:vertAlign w:val="subscript"/>
        </w:rPr>
        <w:t>1</w:t>
      </w:r>
      <w:r>
        <w:rPr>
          <w:rFonts w:hint="eastAsia" w:ascii="宋体" w:hAnsi="宋体"/>
          <w:color w:val="auto"/>
          <w:szCs w:val="21"/>
          <w:highlight w:val="none"/>
        </w:rPr>
        <w:t>、J</w:t>
      </w:r>
      <w:r>
        <w:rPr>
          <w:rFonts w:hint="eastAsia" w:ascii="宋体" w:hAnsi="宋体"/>
          <w:bCs/>
          <w:color w:val="auto"/>
          <w:kern w:val="0"/>
          <w:szCs w:val="21"/>
          <w:highlight w:val="none"/>
          <w:vertAlign w:val="subscript"/>
        </w:rPr>
        <w:t>2</w:t>
      </w:r>
      <w:r>
        <w:rPr>
          <w:rFonts w:hint="eastAsia" w:ascii="宋体" w:hAnsi="宋体"/>
          <w:color w:val="auto"/>
          <w:szCs w:val="21"/>
          <w:highlight w:val="none"/>
        </w:rPr>
        <w:t>、J</w:t>
      </w:r>
      <w:r>
        <w:rPr>
          <w:rFonts w:hint="eastAsia" w:ascii="宋体" w:hAnsi="宋体"/>
          <w:bCs/>
          <w:color w:val="auto"/>
          <w:kern w:val="0"/>
          <w:szCs w:val="21"/>
          <w:highlight w:val="none"/>
          <w:vertAlign w:val="subscript"/>
        </w:rPr>
        <w:t>3</w:t>
      </w:r>
      <w:r>
        <w:rPr>
          <w:rFonts w:hint="eastAsia" w:ascii="宋体" w:hAnsi="宋体"/>
          <w:color w:val="auto"/>
          <w:szCs w:val="21"/>
          <w:highlight w:val="none"/>
        </w:rPr>
        <w:t>——各项评审因素的权重</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eastAsia="黑体"/>
          <w:bCs/>
          <w:color w:val="auto"/>
          <w:sz w:val="24"/>
          <w:szCs w:val="21"/>
          <w:highlight w:val="none"/>
        </w:rPr>
      </w:pPr>
      <w:r>
        <w:rPr>
          <w:rFonts w:hint="eastAsia" w:eastAsia="黑体"/>
          <w:bCs/>
          <w:color w:val="auto"/>
          <w:sz w:val="24"/>
          <w:szCs w:val="21"/>
          <w:highlight w:val="none"/>
          <w:lang w:val="en-US" w:eastAsia="zh-CN"/>
        </w:rPr>
        <w:t>6</w:t>
      </w:r>
      <w:r>
        <w:rPr>
          <w:rFonts w:eastAsia="黑体"/>
          <w:bCs/>
          <w:color w:val="auto"/>
          <w:sz w:val="24"/>
          <w:szCs w:val="21"/>
          <w:highlight w:val="none"/>
        </w:rPr>
        <w:t>.</w:t>
      </w:r>
      <w:r>
        <w:rPr>
          <w:rFonts w:hint="eastAsia" w:ascii="Times New Roman" w:hAnsi="Times New Roman" w:eastAsia="黑体" w:cs="Times New Roman"/>
          <w:bCs/>
          <w:color w:val="auto"/>
          <w:kern w:val="2"/>
          <w:sz w:val="24"/>
          <w:szCs w:val="21"/>
          <w:highlight w:val="none"/>
        </w:rPr>
        <w:t>中标候选人</w:t>
      </w:r>
      <w:r>
        <w:rPr>
          <w:rFonts w:hint="eastAsia" w:eastAsia="黑体"/>
          <w:bCs/>
          <w:color w:val="auto"/>
          <w:sz w:val="24"/>
          <w:szCs w:val="21"/>
          <w:highlight w:val="none"/>
        </w:rPr>
        <w:t>及中标人的确定</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szCs w:val="21"/>
          <w:highlight w:val="none"/>
          <w:lang w:val="en-US" w:eastAsia="zh-CN"/>
        </w:rPr>
        <w:t>6</w:t>
      </w:r>
      <w:r>
        <w:rPr>
          <w:color w:val="auto"/>
          <w:szCs w:val="21"/>
          <w:highlight w:val="none"/>
        </w:rPr>
        <w:t>.1</w:t>
      </w:r>
      <w:r>
        <w:rPr>
          <w:rFonts w:hint="eastAsia"/>
          <w:color w:val="auto"/>
          <w:szCs w:val="21"/>
          <w:highlight w:val="none"/>
        </w:rPr>
        <w:t>推荐</w:t>
      </w:r>
      <w:r>
        <w:rPr>
          <w:color w:val="auto"/>
          <w:szCs w:val="21"/>
          <w:highlight w:val="none"/>
        </w:rPr>
        <w:t>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评定分离法，即：评标委员会推荐不超过3个不排序的中标候选人，由招标人确定中标人。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.1.2排序法，即：评标委员会推荐不超过3个有排序的中标候选人，招标人按照中标候选人的排序确定中标人。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rFonts w:hint="eastAsia"/>
          <w:color w:val="auto"/>
          <w:szCs w:val="21"/>
          <w:highlight w:val="none"/>
        </w:rPr>
        <w:t>.1.3</w:t>
      </w:r>
      <w:r>
        <w:rPr>
          <w:color w:val="auto"/>
          <w:szCs w:val="21"/>
          <w:highlight w:val="none"/>
        </w:rPr>
        <w:t>评标委员会在推荐中标候选人时，应遵照以下原则:</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6</w:t>
      </w:r>
      <w:r>
        <w:rPr>
          <w:rFonts w:hint="eastAsia"/>
          <w:color w:val="auto"/>
          <w:highlight w:val="none"/>
        </w:rPr>
        <w:t>.2中标人的确定</w:t>
      </w:r>
    </w:p>
    <w:p>
      <w:pPr>
        <w:pStyle w:val="15"/>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color w:val="auto"/>
          <w:szCs w:val="21"/>
          <w:highlight w:val="none"/>
        </w:rPr>
        <w:t>.3编制评标报告</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（1）基本情况和数据表；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（2）评标委员会成员名单；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（3）开标记录；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（4）符合要求的投标一览表；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（5）否决投标情况说明；</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（6）评标标准、评标方法或者评标因素一览表；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（8）经评审的投标人排序；</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（9）推荐的中标候选人名单与签订合同前要处理的事宜；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（10）澄清、说明、补正事项纪要。</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7．特殊情况的处置程序</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.1</w:t>
      </w:r>
      <w:r>
        <w:rPr>
          <w:rFonts w:hint="eastAsia"/>
          <w:color w:val="auto"/>
          <w:szCs w:val="21"/>
          <w:highlight w:val="none"/>
        </w:rPr>
        <w:t>技术方案</w:t>
      </w:r>
      <w:r>
        <w:rPr>
          <w:color w:val="auto"/>
          <w:szCs w:val="21"/>
          <w:highlight w:val="none"/>
        </w:rPr>
        <w:t>（暗标）评审</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rFonts w:hint="eastAsia"/>
          <w:color w:val="auto"/>
          <w:szCs w:val="21"/>
          <w:highlight w:val="none"/>
        </w:rPr>
      </w:pPr>
      <w:r>
        <w:rPr>
          <w:rFonts w:hint="eastAsia"/>
          <w:color w:val="auto"/>
          <w:szCs w:val="21"/>
          <w:highlight w:val="none"/>
          <w:lang w:val="en-US" w:eastAsia="zh-CN"/>
        </w:rPr>
        <w:t>企业资信及履约能力评审</w:t>
      </w:r>
      <w:r>
        <w:rPr>
          <w:rFonts w:hint="eastAsia"/>
          <w:color w:val="auto"/>
          <w:szCs w:val="21"/>
          <w:highlight w:val="none"/>
        </w:rPr>
        <w:t>完成之后</w:t>
      </w:r>
      <w:r>
        <w:rPr>
          <w:color w:val="auto"/>
          <w:szCs w:val="21"/>
          <w:highlight w:val="none"/>
        </w:rPr>
        <w:t>，将</w:t>
      </w:r>
      <w:r>
        <w:rPr>
          <w:rFonts w:hint="eastAsia"/>
          <w:color w:val="auto"/>
          <w:szCs w:val="21"/>
          <w:highlight w:val="none"/>
        </w:rPr>
        <w:t>技术方案</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.2关于评标活动暂停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.2.1评标委员会应当执行连续评标的原则，按评标办法中规定的程序、内容、方法、标准完成全部评标工作。除特殊情况外，评标活动不得暂停。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.2.2发生评标暂停情况时，评标委员会应当封存全部投标文件和评标记录，待特殊情况的影响结束且具备继续评标的条件时，由原评标委员会继续评标。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.3关于评标中途更换评委</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.3.1除非发生下列情况之一，不得在评标中途更换评标委员会成员：</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（1）因不可抗拒的原因，评标委员会成员不能到场或需在评标中途退出评标活动。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（2）根据法律法规规定，某个或某几个评标委员会成员需要回避。</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.3.2退出评标的评标委员会成员，其已完成的评标行为无效。由招标人根据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.4记名投票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8.补充条款</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8</w:t>
      </w:r>
      <w:r>
        <w:rPr>
          <w:color w:val="auto"/>
          <w:szCs w:val="21"/>
          <w:highlight w:val="none"/>
        </w:rPr>
        <w:t>.1</w:t>
      </w:r>
    </w:p>
    <w:p>
      <w:pPr>
        <w:adjustRightInd w:val="0"/>
        <w:snapToGrid w:val="0"/>
        <w:spacing w:line="360" w:lineRule="auto"/>
        <w:ind w:firstLine="420" w:firstLineChars="200"/>
        <w:rPr>
          <w:color w:val="auto"/>
          <w:highlight w:val="none"/>
        </w:rPr>
      </w:pPr>
      <w:r>
        <w:rPr>
          <w:color w:val="auto"/>
          <w:highlight w:val="none"/>
        </w:rPr>
        <w:t>……</w:t>
      </w:r>
    </w:p>
    <w:p>
      <w:pPr>
        <w:widowControl/>
        <w:jc w:val="left"/>
        <w:rPr>
          <w:rFonts w:hint="eastAsia" w:eastAsia="黑体"/>
          <w:bCs/>
          <w:color w:val="auto"/>
          <w:sz w:val="24"/>
          <w:highlight w:val="none"/>
        </w:rPr>
      </w:pPr>
      <w:r>
        <w:rPr>
          <w:color w:val="auto"/>
          <w:highlight w:val="none"/>
        </w:rPr>
        <w:br w:type="page"/>
      </w:r>
      <w:bookmarkEnd w:id="157"/>
      <w:bookmarkStart w:id="158" w:name="_Toc9189314"/>
      <w:bookmarkStart w:id="159" w:name="_Toc9188898"/>
      <w:bookmarkStart w:id="160" w:name="_Toc9178536"/>
      <w:r>
        <w:rPr>
          <w:rFonts w:hint="eastAsia" w:eastAsia="黑体"/>
          <w:bCs/>
          <w:color w:val="auto"/>
          <w:sz w:val="24"/>
          <w:highlight w:val="none"/>
        </w:rPr>
        <w:t>附件3-2“评定分离”工作规则</w:t>
      </w:r>
      <w:bookmarkEnd w:id="158"/>
      <w:bookmarkEnd w:id="159"/>
      <w:bookmarkEnd w:id="160"/>
    </w:p>
    <w:p>
      <w:pPr>
        <w:widowControl/>
        <w:jc w:val="left"/>
        <w:rPr>
          <w:rFonts w:hint="eastAsia" w:eastAsia="黑体"/>
          <w:bCs/>
          <w:color w:val="auto"/>
          <w:sz w:val="24"/>
          <w:highlight w:val="none"/>
        </w:rPr>
      </w:pPr>
    </w:p>
    <w:p>
      <w:pPr>
        <w:spacing w:after="120" w:afterLines="50" w:line="420" w:lineRule="exact"/>
        <w:jc w:val="center"/>
        <w:rPr>
          <w:rFonts w:hint="eastAsia" w:eastAsia="黑体"/>
          <w:color w:val="auto"/>
          <w:sz w:val="28"/>
          <w:szCs w:val="28"/>
          <w:highlight w:val="none"/>
        </w:rPr>
      </w:pPr>
      <w:bookmarkStart w:id="161" w:name="_Toc9188899"/>
      <w:bookmarkStart w:id="162" w:name="_Toc9189315"/>
      <w:bookmarkStart w:id="163" w:name="_Toc9178537"/>
      <w:r>
        <w:rPr>
          <w:rFonts w:hint="eastAsia" w:eastAsia="黑体"/>
          <w:color w:val="auto"/>
          <w:sz w:val="28"/>
          <w:szCs w:val="28"/>
          <w:highlight w:val="none"/>
        </w:rPr>
        <w:t>“评定分离”工作规则</w:t>
      </w:r>
      <w:bookmarkEnd w:id="161"/>
      <w:bookmarkEnd w:id="162"/>
      <w:bookmarkEnd w:id="163"/>
    </w:p>
    <w:p>
      <w:pPr>
        <w:spacing w:line="540" w:lineRule="exact"/>
        <w:ind w:firstLine="600" w:firstLineChars="200"/>
        <w:rPr>
          <w:rFonts w:ascii="仿宋" w:hAnsi="仿宋" w:eastAsia="仿宋"/>
          <w:color w:val="auto"/>
          <w:sz w:val="30"/>
          <w:szCs w:val="30"/>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1.1票决法：通过票决的方式确定中标人的方法。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w:t>
      </w:r>
      <w:r>
        <w:rPr>
          <w:rFonts w:hint="eastAsia"/>
          <w:color w:val="auto"/>
          <w:szCs w:val="21"/>
          <w:highlight w:val="none"/>
        </w:rPr>
        <w:t>技术方案和企业资信及履约能力两</w:t>
      </w:r>
      <w:r>
        <w:rPr>
          <w:rFonts w:hint="eastAsia" w:ascii="宋体" w:hAnsi="宋体" w:cs="宋体"/>
          <w:color w:val="auto"/>
          <w:szCs w:val="21"/>
          <w:highlight w:val="none"/>
        </w:rPr>
        <w:t>项得分之和由高至低排序确定中标人；方式二，</w:t>
      </w:r>
      <w:r>
        <w:rPr>
          <w:rFonts w:hint="eastAsia"/>
          <w:color w:val="auto"/>
          <w:szCs w:val="21"/>
          <w:highlight w:val="none"/>
        </w:rPr>
        <w:t>企业资信及履约能力</w:t>
      </w:r>
      <w:r>
        <w:rPr>
          <w:rFonts w:hint="eastAsia" w:ascii="宋体" w:hAnsi="宋体" w:cs="宋体"/>
          <w:color w:val="auto"/>
          <w:szCs w:val="21"/>
          <w:highlight w:val="none"/>
        </w:rPr>
        <w:t>得分由高至低排序确定中标人。评审因素得分之和相同时，按照评标总得分的由高至低排序确定中标人。</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确定中标人</w:t>
      </w:r>
      <w:r>
        <w:rPr>
          <w:rFonts w:hint="eastAsia" w:ascii="宋体" w:hAnsi="宋体" w:cs="宋体"/>
          <w:color w:val="auto"/>
          <w:szCs w:val="21"/>
          <w:highlight w:val="none"/>
        </w:rPr>
        <w:t>。</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 xml:space="preserve">  招标人应当保留所有必要的定标工作相关资料，以便追溯查询。</w:t>
      </w: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pStyle w:val="2"/>
        <w:spacing w:before="0" w:after="0"/>
        <w:jc w:val="center"/>
        <w:rPr>
          <w:rFonts w:ascii="Times New Roman" w:hAnsi="Times New Roman"/>
          <w:b w:val="0"/>
          <w:color w:val="auto"/>
          <w:highlight w:val="none"/>
        </w:rPr>
      </w:pPr>
      <w:bookmarkStart w:id="164" w:name="_Toc69199921"/>
      <w:r>
        <w:rPr>
          <w:rFonts w:ascii="Times New Roman" w:hAnsi="Times New Roman" w:eastAsia="黑体"/>
          <w:b w:val="0"/>
          <w:bCs w:val="0"/>
          <w:color w:val="auto"/>
          <w:highlight w:val="none"/>
        </w:rPr>
        <w:t>第四章  合同条款及格式</w:t>
      </w:r>
      <w:bookmarkEnd w:id="164"/>
      <w:bookmarkStart w:id="165" w:name="_Toc337558727"/>
      <w:r>
        <w:rPr>
          <w:rFonts w:ascii="Times New Roman" w:hAnsi="Times New Roman"/>
          <w:b w:val="0"/>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ind w:firstLine="420" w:firstLineChars="200"/>
        <w:rPr>
          <w:color w:val="auto"/>
          <w:highlight w:val="none"/>
        </w:rPr>
      </w:pPr>
      <w:r>
        <w:rPr>
          <w:rFonts w:hint="eastAsia"/>
          <w:color w:val="auto"/>
          <w:highlight w:val="none"/>
        </w:rPr>
        <w:t>说明：合同条款及格式应当作为招标文件的组成部分，合同条款及格式采用《建设项目工程总承包合同（示范文本）》（</w:t>
      </w:r>
      <w:r>
        <w:rPr>
          <w:color w:val="auto"/>
          <w:highlight w:val="none"/>
        </w:rPr>
        <w:t>GF-2020-0216</w:t>
      </w:r>
      <w:r>
        <w:rPr>
          <w:rFonts w:hint="eastAsia"/>
          <w:color w:val="auto"/>
          <w:highlight w:val="none"/>
        </w:rPr>
        <w:t>）。</w:t>
      </w:r>
    </w:p>
    <w:p>
      <w:pPr>
        <w:rPr>
          <w:color w:val="auto"/>
          <w:highlight w:val="none"/>
        </w:rPr>
        <w:sectPr>
          <w:pgSz w:w="11906" w:h="16838"/>
          <w:pgMar w:top="1440" w:right="1800" w:bottom="1440" w:left="1800" w:header="720" w:footer="998" w:gutter="0"/>
          <w:cols w:space="720" w:num="1"/>
          <w:titlePg/>
          <w:docGrid w:linePitch="326" w:charSpace="0"/>
        </w:sectPr>
      </w:pPr>
      <w:r>
        <w:rPr>
          <w:color w:val="auto"/>
          <w:highlight w:val="none"/>
        </w:rPr>
        <w:br w:type="page"/>
      </w:r>
    </w:p>
    <w:p>
      <w:pPr>
        <w:pStyle w:val="4"/>
        <w:jc w:val="center"/>
        <w:rPr>
          <w:rFonts w:eastAsia="黑体"/>
          <w:b w:val="0"/>
          <w:bCs w:val="0"/>
          <w:color w:val="auto"/>
          <w:sz w:val="30"/>
          <w:szCs w:val="30"/>
          <w:highlight w:val="none"/>
        </w:rPr>
      </w:pPr>
      <w:bookmarkStart w:id="166" w:name="_Toc69199922"/>
      <w:bookmarkStart w:id="167" w:name="_Toc54862164"/>
      <w:r>
        <w:rPr>
          <w:rFonts w:hint="eastAsia" w:eastAsia="黑体"/>
          <w:b w:val="0"/>
          <w:bCs w:val="0"/>
          <w:color w:val="auto"/>
          <w:sz w:val="30"/>
          <w:szCs w:val="30"/>
          <w:highlight w:val="none"/>
        </w:rPr>
        <w:t>第一部分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合同协议书</w:t>
      </w:r>
      <w:bookmarkEnd w:id="166"/>
      <w:bookmarkEnd w:id="167"/>
    </w:p>
    <w:p>
      <w:pPr>
        <w:snapToGrid w:val="0"/>
        <w:spacing w:line="360" w:lineRule="auto"/>
        <w:ind w:firstLine="420"/>
        <w:rPr>
          <w:rFonts w:hint="eastAsia"/>
          <w:color w:val="auto"/>
          <w:szCs w:val="21"/>
          <w:highlight w:val="none"/>
        </w:rPr>
      </w:pPr>
    </w:p>
    <w:p>
      <w:pPr>
        <w:snapToGrid w:val="0"/>
        <w:spacing w:line="360" w:lineRule="auto"/>
        <w:ind w:firstLine="420"/>
        <w:rPr>
          <w:color w:val="auto"/>
          <w:szCs w:val="21"/>
          <w:highlight w:val="none"/>
          <w:u w:val="single"/>
        </w:rPr>
      </w:pPr>
      <w:r>
        <w:rPr>
          <w:rFonts w:hint="eastAsia"/>
          <w:color w:val="auto"/>
          <w:szCs w:val="21"/>
          <w:highlight w:val="none"/>
        </w:rPr>
        <w:t>发包人（全称）：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承包人（全称）：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rPr>
        <w:t>项目的工程总承包及有关事项协商一致，共同达成如下协议：</w:t>
      </w:r>
    </w:p>
    <w:p>
      <w:pPr>
        <w:spacing w:line="300" w:lineRule="auto"/>
        <w:ind w:left="630" w:hanging="630" w:hangingChars="300"/>
        <w:rPr>
          <w:color w:val="auto"/>
          <w:szCs w:val="21"/>
          <w:highlight w:val="none"/>
        </w:rPr>
      </w:pPr>
      <w:bookmarkStart w:id="168" w:name="_Toc54862165"/>
      <w:r>
        <w:rPr>
          <w:rFonts w:hint="eastAsia"/>
          <w:color w:val="auto"/>
          <w:szCs w:val="21"/>
          <w:highlight w:val="none"/>
        </w:rPr>
        <w:t>一、工程概况</w:t>
      </w:r>
      <w:bookmarkEnd w:id="168"/>
    </w:p>
    <w:p>
      <w:pPr>
        <w:snapToGrid w:val="0"/>
        <w:spacing w:line="360" w:lineRule="auto"/>
        <w:ind w:firstLine="420"/>
        <w:rPr>
          <w:color w:val="auto"/>
          <w:szCs w:val="21"/>
          <w:highlight w:val="none"/>
        </w:rPr>
      </w:pPr>
      <w:r>
        <w:rPr>
          <w:rFonts w:hint="eastAsia"/>
          <w:color w:val="auto"/>
          <w:szCs w:val="21"/>
          <w:highlight w:val="none"/>
        </w:rPr>
        <w:t>1. 工程名称：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 工程地点：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 工程审批、核准或备案文号：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4. 资金来源：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 工程内容及规模：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6. 工程承包范围：</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69" w:name="_Toc54862166"/>
      <w:r>
        <w:rPr>
          <w:rFonts w:hint="eastAsia"/>
          <w:color w:val="auto"/>
          <w:szCs w:val="21"/>
          <w:highlight w:val="none"/>
        </w:rPr>
        <w:t>二、合同工期</w:t>
      </w:r>
      <w:bookmarkEnd w:id="169"/>
    </w:p>
    <w:p>
      <w:pPr>
        <w:snapToGrid w:val="0"/>
        <w:spacing w:line="360" w:lineRule="auto"/>
        <w:ind w:firstLine="420"/>
        <w:rPr>
          <w:color w:val="auto"/>
          <w:szCs w:val="21"/>
          <w:highlight w:val="none"/>
        </w:rPr>
      </w:pPr>
      <w:r>
        <w:rPr>
          <w:rFonts w:hint="eastAsia"/>
          <w:color w:val="auto"/>
          <w:szCs w:val="21"/>
          <w:highlight w:val="none"/>
        </w:rPr>
        <w:t>计划开始工作日期：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计划开始现场施工日期：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天，工期总日历天数与根据前述计划日期计算的工期天数不一致的，以工期总日历天数为准。</w:t>
      </w:r>
    </w:p>
    <w:p>
      <w:pPr>
        <w:spacing w:line="300" w:lineRule="auto"/>
        <w:ind w:left="630" w:hanging="630" w:hangingChars="300"/>
        <w:rPr>
          <w:color w:val="auto"/>
          <w:szCs w:val="21"/>
          <w:highlight w:val="none"/>
        </w:rPr>
      </w:pPr>
      <w:bookmarkStart w:id="170" w:name="_Toc54862167"/>
      <w:r>
        <w:rPr>
          <w:rFonts w:hint="eastAsia"/>
          <w:color w:val="auto"/>
          <w:szCs w:val="21"/>
          <w:highlight w:val="none"/>
        </w:rPr>
        <w:t>三、质量标准</w:t>
      </w:r>
      <w:bookmarkEnd w:id="170"/>
    </w:p>
    <w:p>
      <w:pPr>
        <w:snapToGrid w:val="0"/>
        <w:spacing w:line="360" w:lineRule="auto"/>
        <w:ind w:firstLine="420"/>
        <w:rPr>
          <w:color w:val="auto"/>
          <w:szCs w:val="21"/>
          <w:highlight w:val="none"/>
        </w:rPr>
      </w:pPr>
      <w:r>
        <w:rPr>
          <w:rFonts w:hint="eastAsia"/>
          <w:color w:val="auto"/>
          <w:szCs w:val="21"/>
          <w:highlight w:val="none"/>
        </w:rPr>
        <w:t>工程质量标准：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1" w:name="_Toc54862168"/>
      <w:r>
        <w:rPr>
          <w:rFonts w:hint="eastAsia"/>
          <w:color w:val="auto"/>
          <w:szCs w:val="21"/>
          <w:highlight w:val="none"/>
        </w:rPr>
        <w:t>四、签约合同价与合同价格形式</w:t>
      </w:r>
      <w:bookmarkEnd w:id="171"/>
    </w:p>
    <w:p>
      <w:pPr>
        <w:snapToGrid w:val="0"/>
        <w:spacing w:line="360" w:lineRule="auto"/>
        <w:ind w:firstLine="420"/>
        <w:rPr>
          <w:color w:val="auto"/>
          <w:szCs w:val="21"/>
          <w:highlight w:val="none"/>
        </w:rPr>
      </w:pPr>
      <w:r>
        <w:rPr>
          <w:rFonts w:hint="eastAsia"/>
          <w:color w:val="auto"/>
          <w:szCs w:val="21"/>
          <w:highlight w:val="none"/>
        </w:rPr>
        <w:t>1. 签约合同价（含税）为：</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 xml:space="preserve">具体构成详见价格清单。其中： </w:t>
      </w:r>
    </w:p>
    <w:p>
      <w:pPr>
        <w:snapToGrid w:val="0"/>
        <w:spacing w:line="360" w:lineRule="auto"/>
        <w:ind w:firstLine="420"/>
        <w:rPr>
          <w:color w:val="auto"/>
          <w:szCs w:val="21"/>
          <w:highlight w:val="none"/>
        </w:rPr>
      </w:pPr>
      <w:r>
        <w:rPr>
          <w:rFonts w:hint="eastAsia"/>
          <w:color w:val="auto"/>
          <w:szCs w:val="21"/>
          <w:highlight w:val="none"/>
        </w:rPr>
        <w:t>（1） 设计费（含税）：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（2） 设备购置费（含税）：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（3） 建筑安装工程费（含税）：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 暂估价（含税）：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暂列金额（含税）：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xml:space="preserve"> </w:t>
      </w:r>
      <w:r>
        <w:rPr>
          <w:color w:val="auto"/>
          <w:szCs w:val="21"/>
          <w:highlight w:val="none"/>
        </w:rPr>
        <w:t>双方约定的其他费用</w:t>
      </w:r>
      <w:r>
        <w:rPr>
          <w:rFonts w:hint="eastAsia"/>
          <w:color w:val="auto"/>
          <w:szCs w:val="21"/>
          <w:highlight w:val="none"/>
        </w:rPr>
        <w:t>（含税）</w:t>
      </w:r>
      <w:r>
        <w:rPr>
          <w:color w:val="auto"/>
          <w:szCs w:val="21"/>
          <w:highlight w:val="none"/>
        </w:rPr>
        <w:t>：</w:t>
      </w:r>
    </w:p>
    <w:p>
      <w:pPr>
        <w:snapToGrid w:val="0"/>
        <w:spacing w:line="360" w:lineRule="auto"/>
        <w:ind w:firstLine="420"/>
        <w:jc w:val="left"/>
        <w:rPr>
          <w:color w:val="auto"/>
          <w:szCs w:val="21"/>
          <w:highlight w:val="none"/>
        </w:rPr>
      </w:pPr>
      <w:r>
        <w:rPr>
          <w:rFonts w:hint="eastAsia"/>
          <w:color w:val="auto"/>
          <w:szCs w:val="21"/>
          <w:highlight w:val="none"/>
        </w:rPr>
        <w:t>人民币（大写</w:t>
      </w:r>
      <w:r>
        <w:rPr>
          <w:color w:val="auto"/>
          <w:szCs w:val="21"/>
          <w:highlight w:val="none"/>
        </w:rPr>
        <w:t>)</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元）；适用税率：</w:t>
      </w:r>
      <w:r>
        <w:rPr>
          <w:rFonts w:hint="eastAsia"/>
          <w:color w:val="auto"/>
          <w:szCs w:val="21"/>
          <w:highlight w:val="none"/>
          <w:u w:val="single"/>
        </w:rPr>
        <w:t xml:space="preserve">         </w:t>
      </w:r>
      <w:r>
        <w:rPr>
          <w:color w:val="auto"/>
          <w:szCs w:val="21"/>
          <w:highlight w:val="none"/>
        </w:rPr>
        <w:t>%，税金为人民币（大写)</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2. 合同价格形式：</w:t>
      </w:r>
    </w:p>
    <w:p>
      <w:pPr>
        <w:snapToGrid w:val="0"/>
        <w:spacing w:line="360" w:lineRule="auto"/>
        <w:ind w:firstLine="420"/>
        <w:rPr>
          <w:color w:val="auto"/>
          <w:szCs w:val="21"/>
          <w:highlight w:val="none"/>
        </w:rPr>
      </w:pPr>
      <w:r>
        <w:rPr>
          <w:rFonts w:hint="eastAsia"/>
          <w:color w:val="auto"/>
          <w:szCs w:val="21"/>
          <w:highlight w:val="none"/>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color w:val="auto"/>
          <w:szCs w:val="21"/>
          <w:highlight w:val="none"/>
        </w:rPr>
      </w:pPr>
      <w:r>
        <w:rPr>
          <w:rFonts w:hint="eastAsia"/>
          <w:color w:val="auto"/>
          <w:szCs w:val="21"/>
          <w:highlight w:val="none"/>
        </w:rPr>
        <w:t>合同当事人对合同价格形式的其他约定：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2" w:name="_Toc54862169"/>
      <w:r>
        <w:rPr>
          <w:rFonts w:hint="eastAsia"/>
          <w:color w:val="auto"/>
          <w:szCs w:val="21"/>
          <w:highlight w:val="none"/>
        </w:rPr>
        <w:t>五、工程总承包项目经理</w:t>
      </w:r>
      <w:bookmarkEnd w:id="172"/>
    </w:p>
    <w:p>
      <w:pPr>
        <w:snapToGrid w:val="0"/>
        <w:spacing w:line="360" w:lineRule="auto"/>
        <w:ind w:firstLine="420"/>
        <w:rPr>
          <w:color w:val="auto"/>
          <w:szCs w:val="21"/>
          <w:highlight w:val="none"/>
        </w:rPr>
      </w:pPr>
      <w:r>
        <w:rPr>
          <w:rFonts w:hint="eastAsia"/>
          <w:color w:val="auto"/>
          <w:szCs w:val="21"/>
          <w:highlight w:val="none"/>
        </w:rPr>
        <w:t>工程总承包项目经理：</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3" w:name="_Toc54862170"/>
      <w:r>
        <w:rPr>
          <w:rFonts w:hint="eastAsia"/>
          <w:color w:val="auto"/>
          <w:szCs w:val="21"/>
          <w:highlight w:val="none"/>
        </w:rPr>
        <w:t>六、合同文件构成</w:t>
      </w:r>
      <w:bookmarkEnd w:id="173"/>
    </w:p>
    <w:p>
      <w:pPr>
        <w:snapToGrid w:val="0"/>
        <w:spacing w:line="360" w:lineRule="auto"/>
        <w:ind w:firstLine="420"/>
        <w:rPr>
          <w:color w:val="auto"/>
          <w:szCs w:val="21"/>
          <w:highlight w:val="none"/>
        </w:rPr>
      </w:pPr>
      <w:r>
        <w:rPr>
          <w:rFonts w:hint="eastAsia"/>
          <w:color w:val="auto"/>
          <w:szCs w:val="21"/>
          <w:highlight w:val="none"/>
        </w:rPr>
        <w:t xml:space="preserve">本协议书与下列文件一起构成合同文件： </w:t>
      </w:r>
    </w:p>
    <w:p>
      <w:pPr>
        <w:snapToGrid w:val="0"/>
        <w:spacing w:line="360" w:lineRule="auto"/>
        <w:ind w:firstLine="420"/>
        <w:rPr>
          <w:color w:val="auto"/>
          <w:szCs w:val="21"/>
          <w:highlight w:val="none"/>
        </w:rPr>
      </w:pPr>
      <w:r>
        <w:rPr>
          <w:rFonts w:hint="eastAsia"/>
          <w:color w:val="auto"/>
          <w:szCs w:val="21"/>
          <w:highlight w:val="none"/>
        </w:rPr>
        <w:t>（1） 中标通知书（如果有）；</w:t>
      </w:r>
    </w:p>
    <w:p>
      <w:pPr>
        <w:snapToGrid w:val="0"/>
        <w:spacing w:line="360" w:lineRule="auto"/>
        <w:ind w:firstLine="420"/>
        <w:rPr>
          <w:color w:val="auto"/>
          <w:szCs w:val="21"/>
          <w:highlight w:val="none"/>
        </w:rPr>
      </w:pPr>
      <w:r>
        <w:rPr>
          <w:rFonts w:hint="eastAsia"/>
          <w:color w:val="auto"/>
          <w:szCs w:val="21"/>
          <w:highlight w:val="none"/>
        </w:rPr>
        <w:t>（2） 投标函及投标函附录（如果有）；</w:t>
      </w:r>
    </w:p>
    <w:p>
      <w:pPr>
        <w:snapToGrid w:val="0"/>
        <w:spacing w:line="360" w:lineRule="auto"/>
        <w:ind w:firstLine="420"/>
        <w:rPr>
          <w:color w:val="auto"/>
          <w:szCs w:val="21"/>
          <w:highlight w:val="none"/>
        </w:rPr>
      </w:pPr>
      <w:r>
        <w:rPr>
          <w:rFonts w:hint="eastAsia"/>
          <w:color w:val="auto"/>
          <w:szCs w:val="21"/>
          <w:highlight w:val="none"/>
        </w:rPr>
        <w:t>（3） 专用合同条件及《发包人要求》等附件；</w:t>
      </w:r>
    </w:p>
    <w:p>
      <w:pPr>
        <w:snapToGrid w:val="0"/>
        <w:spacing w:line="360" w:lineRule="auto"/>
        <w:ind w:firstLine="420"/>
        <w:rPr>
          <w:color w:val="auto"/>
          <w:szCs w:val="21"/>
          <w:highlight w:val="none"/>
        </w:rPr>
      </w:pPr>
      <w:r>
        <w:rPr>
          <w:rFonts w:hint="eastAsia"/>
          <w:color w:val="auto"/>
          <w:szCs w:val="21"/>
          <w:highlight w:val="none"/>
        </w:rPr>
        <w:t>（4） 通用合同条件；</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xml:space="preserve">） 承包人建议书；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价格清单；</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 双方约定的其他合同文件。</w:t>
      </w:r>
    </w:p>
    <w:p>
      <w:pPr>
        <w:snapToGrid w:val="0"/>
        <w:spacing w:line="360" w:lineRule="auto"/>
        <w:ind w:firstLine="420"/>
        <w:rPr>
          <w:color w:val="auto"/>
          <w:szCs w:val="21"/>
          <w:highlight w:val="none"/>
        </w:rPr>
      </w:pPr>
      <w:r>
        <w:rPr>
          <w:rFonts w:hint="eastAsia"/>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color w:val="auto"/>
          <w:szCs w:val="21"/>
          <w:highlight w:val="none"/>
        </w:rPr>
      </w:pPr>
      <w:bookmarkStart w:id="174" w:name="_Toc54862171"/>
      <w:r>
        <w:rPr>
          <w:rFonts w:hint="eastAsia"/>
          <w:color w:val="auto"/>
          <w:szCs w:val="21"/>
          <w:highlight w:val="none"/>
        </w:rPr>
        <w:t>七、承诺</w:t>
      </w:r>
      <w:bookmarkEnd w:id="174"/>
    </w:p>
    <w:p>
      <w:pPr>
        <w:snapToGrid w:val="0"/>
        <w:spacing w:line="360" w:lineRule="auto"/>
        <w:ind w:firstLine="420"/>
        <w:rPr>
          <w:color w:val="auto"/>
          <w:szCs w:val="21"/>
          <w:highlight w:val="none"/>
        </w:rPr>
      </w:pPr>
      <w:r>
        <w:rPr>
          <w:rFonts w:hint="eastAsia"/>
          <w:color w:val="auto"/>
          <w:szCs w:val="21"/>
          <w:highlight w:val="none"/>
        </w:rPr>
        <w:t>1. 发包人承诺按照法律规定履行项目审批手续、筹集工程建设资金并按照合同约定的期限和方式支付合同价款。</w:t>
      </w:r>
    </w:p>
    <w:p>
      <w:pPr>
        <w:snapToGrid w:val="0"/>
        <w:spacing w:line="360" w:lineRule="auto"/>
        <w:ind w:firstLine="420"/>
        <w:rPr>
          <w:color w:val="auto"/>
          <w:szCs w:val="21"/>
          <w:highlight w:val="none"/>
        </w:rPr>
      </w:pPr>
      <w:r>
        <w:rPr>
          <w:rFonts w:hint="eastAsia"/>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color w:val="auto"/>
          <w:szCs w:val="21"/>
          <w:highlight w:val="none"/>
        </w:rPr>
      </w:pPr>
      <w:bookmarkStart w:id="175" w:name="_Toc54862172"/>
      <w:r>
        <w:rPr>
          <w:rFonts w:hint="eastAsia"/>
          <w:color w:val="auto"/>
          <w:szCs w:val="21"/>
          <w:highlight w:val="none"/>
        </w:rPr>
        <w:t>八、订立时间</w:t>
      </w:r>
      <w:bookmarkEnd w:id="175"/>
    </w:p>
    <w:p>
      <w:pPr>
        <w:snapToGrid w:val="0"/>
        <w:spacing w:line="360" w:lineRule="auto"/>
        <w:ind w:firstLine="420"/>
        <w:rPr>
          <w:color w:val="auto"/>
          <w:szCs w:val="21"/>
          <w:highlight w:val="none"/>
        </w:rPr>
      </w:pPr>
      <w:r>
        <w:rPr>
          <w:rFonts w:hint="eastAsia"/>
          <w:color w:val="auto"/>
          <w:szCs w:val="21"/>
          <w:highlight w:val="none"/>
        </w:rPr>
        <w:t>本合同于</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日订立。</w:t>
      </w:r>
    </w:p>
    <w:p>
      <w:pPr>
        <w:spacing w:line="300" w:lineRule="auto"/>
        <w:ind w:left="630" w:hanging="630" w:hangingChars="300"/>
        <w:rPr>
          <w:color w:val="auto"/>
          <w:szCs w:val="21"/>
          <w:highlight w:val="none"/>
        </w:rPr>
      </w:pPr>
      <w:bookmarkStart w:id="176" w:name="_Toc54862173"/>
      <w:r>
        <w:rPr>
          <w:rFonts w:hint="eastAsia"/>
          <w:color w:val="auto"/>
          <w:szCs w:val="21"/>
          <w:highlight w:val="none"/>
        </w:rPr>
        <w:t>九、订立地点</w:t>
      </w:r>
      <w:bookmarkEnd w:id="176"/>
    </w:p>
    <w:p>
      <w:pPr>
        <w:snapToGrid w:val="0"/>
        <w:spacing w:line="360" w:lineRule="auto"/>
        <w:ind w:firstLine="420"/>
        <w:rPr>
          <w:color w:val="auto"/>
          <w:szCs w:val="21"/>
          <w:highlight w:val="none"/>
        </w:rPr>
      </w:pPr>
      <w:r>
        <w:rPr>
          <w:rFonts w:hint="eastAsia"/>
          <w:color w:val="auto"/>
          <w:szCs w:val="21"/>
          <w:highlight w:val="none"/>
        </w:rPr>
        <w:t>本合同在</w:t>
      </w:r>
      <w:r>
        <w:rPr>
          <w:color w:val="auto"/>
          <w:szCs w:val="21"/>
          <w:highlight w:val="none"/>
          <w:u w:val="single"/>
        </w:rPr>
        <w:t xml:space="preserve">                        </w:t>
      </w:r>
      <w:r>
        <w:rPr>
          <w:rFonts w:hint="eastAsia"/>
          <w:color w:val="auto"/>
          <w:szCs w:val="21"/>
          <w:highlight w:val="none"/>
        </w:rPr>
        <w:t>订立。</w:t>
      </w:r>
    </w:p>
    <w:p>
      <w:pPr>
        <w:spacing w:line="300" w:lineRule="auto"/>
        <w:ind w:left="630" w:hanging="630" w:hangingChars="300"/>
        <w:rPr>
          <w:color w:val="auto"/>
          <w:szCs w:val="21"/>
          <w:highlight w:val="none"/>
        </w:rPr>
      </w:pPr>
      <w:bookmarkStart w:id="177" w:name="_Toc54862174"/>
      <w:r>
        <w:rPr>
          <w:rFonts w:hint="eastAsia"/>
          <w:color w:val="auto"/>
          <w:szCs w:val="21"/>
          <w:highlight w:val="none"/>
        </w:rPr>
        <w:t>十、合同生效</w:t>
      </w:r>
      <w:bookmarkEnd w:id="177"/>
    </w:p>
    <w:p>
      <w:pPr>
        <w:snapToGrid w:val="0"/>
        <w:spacing w:line="360" w:lineRule="auto"/>
        <w:ind w:firstLine="420"/>
        <w:rPr>
          <w:color w:val="auto"/>
          <w:szCs w:val="21"/>
          <w:highlight w:val="none"/>
        </w:rPr>
      </w:pPr>
      <w:r>
        <w:rPr>
          <w:rFonts w:hint="eastAsia"/>
          <w:color w:val="auto"/>
          <w:szCs w:val="21"/>
          <w:highlight w:val="none"/>
        </w:rPr>
        <w:t>本合同经双方签字或盖章后成立，并自</w:t>
      </w:r>
      <w:r>
        <w:rPr>
          <w:color w:val="auto"/>
          <w:szCs w:val="21"/>
          <w:highlight w:val="none"/>
          <w:u w:val="single"/>
        </w:rPr>
        <w:t xml:space="preserve">            </w:t>
      </w:r>
      <w:r>
        <w:rPr>
          <w:rFonts w:hint="eastAsia"/>
          <w:color w:val="auto"/>
          <w:szCs w:val="21"/>
          <w:highlight w:val="none"/>
        </w:rPr>
        <w:t>生效。</w:t>
      </w:r>
    </w:p>
    <w:p>
      <w:pPr>
        <w:spacing w:line="300" w:lineRule="auto"/>
        <w:ind w:left="630" w:hanging="630" w:hangingChars="300"/>
        <w:rPr>
          <w:color w:val="auto"/>
          <w:szCs w:val="21"/>
          <w:highlight w:val="none"/>
        </w:rPr>
      </w:pPr>
      <w:bookmarkStart w:id="178" w:name="_Toc54862175"/>
      <w:r>
        <w:rPr>
          <w:rFonts w:hint="eastAsia"/>
          <w:color w:val="auto"/>
          <w:szCs w:val="21"/>
          <w:highlight w:val="none"/>
        </w:rPr>
        <w:t>十一、合同份数</w:t>
      </w:r>
      <w:bookmarkEnd w:id="178"/>
    </w:p>
    <w:p>
      <w:pPr>
        <w:snapToGrid w:val="0"/>
        <w:spacing w:line="360" w:lineRule="auto"/>
        <w:ind w:firstLine="420"/>
        <w:rPr>
          <w:color w:val="auto"/>
          <w:szCs w:val="21"/>
          <w:highlight w:val="none"/>
        </w:rPr>
      </w:pPr>
      <w:r>
        <w:rPr>
          <w:rFonts w:hint="eastAsia"/>
          <w:color w:val="auto"/>
          <w:szCs w:val="21"/>
          <w:highlight w:val="none"/>
        </w:rPr>
        <w:t>本合同一式</w:t>
      </w:r>
      <w:r>
        <w:rPr>
          <w:color w:val="auto"/>
          <w:szCs w:val="21"/>
          <w:highlight w:val="none"/>
          <w:u w:val="single"/>
        </w:rPr>
        <w:t xml:space="preserve">    </w:t>
      </w:r>
      <w:r>
        <w:rPr>
          <w:rFonts w:hint="eastAsia"/>
          <w:color w:val="auto"/>
          <w:szCs w:val="21"/>
          <w:highlight w:val="none"/>
        </w:rPr>
        <w:t>份，均具有同等法律效力，发包人执</w:t>
      </w:r>
      <w:r>
        <w:rPr>
          <w:color w:val="auto"/>
          <w:szCs w:val="21"/>
          <w:highlight w:val="none"/>
          <w:u w:val="single"/>
        </w:rPr>
        <w:t xml:space="preserve">    </w:t>
      </w:r>
      <w:r>
        <w:rPr>
          <w:rFonts w:hint="eastAsia"/>
          <w:color w:val="auto"/>
          <w:szCs w:val="21"/>
          <w:highlight w:val="none"/>
        </w:rPr>
        <w:t>份，承包人执</w:t>
      </w:r>
      <w:r>
        <w:rPr>
          <w:color w:val="auto"/>
          <w:szCs w:val="21"/>
          <w:highlight w:val="none"/>
          <w:u w:val="single"/>
        </w:rPr>
        <w:t xml:space="preserve">    </w:t>
      </w:r>
      <w:r>
        <w:rPr>
          <w:rFonts w:hint="eastAsia"/>
          <w:color w:val="auto"/>
          <w:szCs w:val="21"/>
          <w:highlight w:val="none"/>
        </w:rPr>
        <w:t>份。</w:t>
      </w:r>
    </w:p>
    <w:p>
      <w:pPr>
        <w:snapToGrid w:val="0"/>
        <w:spacing w:line="360" w:lineRule="auto"/>
        <w:ind w:firstLine="420"/>
        <w:rPr>
          <w:color w:val="auto"/>
          <w:szCs w:val="21"/>
          <w:highlight w:val="none"/>
        </w:rPr>
      </w:pPr>
    </w:p>
    <w:p>
      <w:pPr>
        <w:snapToGrid w:val="0"/>
        <w:spacing w:line="360" w:lineRule="auto"/>
        <w:ind w:firstLine="420"/>
        <w:rPr>
          <w:color w:val="auto"/>
          <w:szCs w:val="21"/>
          <w:highlight w:val="none"/>
        </w:rPr>
      </w:pPr>
    </w:p>
    <w:tbl>
      <w:tblPr>
        <w:tblStyle w:val="4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发包人：（公章）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承包人：（公章）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 xml:space="preserve">传真： </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kern w:val="0"/>
                <w:sz w:val="21"/>
                <w:szCs w:val="21"/>
                <w:highlight w:val="none"/>
                <w:u w:val="single"/>
              </w:rPr>
              <w:t xml:space="preserve">                       </w:t>
            </w: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传真：</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sz w:val="21"/>
                <w:szCs w:val="21"/>
                <w:highlight w:val="none"/>
                <w:u w:val="single"/>
              </w:rPr>
              <w:t xml:space="preserve">                       </w:t>
            </w:r>
          </w:p>
        </w:tc>
      </w:tr>
    </w:tbl>
    <w:p>
      <w:pPr>
        <w:rPr>
          <w:color w:val="auto"/>
          <w:highlight w:val="none"/>
        </w:rPr>
        <w:sectPr>
          <w:footerReference r:id="rId9" w:type="default"/>
          <w:type w:val="continuous"/>
          <w:pgSz w:w="11906" w:h="16838"/>
          <w:pgMar w:top="1440" w:right="1800" w:bottom="1440" w:left="1800" w:header="850" w:footer="1020" w:gutter="0"/>
          <w:cols w:space="720" w:num="1"/>
          <w:docGrid w:linePitch="326" w:charSpace="0"/>
        </w:sectPr>
      </w:pPr>
      <w:r>
        <w:rPr>
          <w:color w:val="auto"/>
          <w:highlight w:val="none"/>
        </w:rPr>
        <w:tab/>
      </w:r>
    </w:p>
    <w:p>
      <w:pPr>
        <w:pStyle w:val="4"/>
        <w:jc w:val="center"/>
        <w:rPr>
          <w:rFonts w:eastAsia="黑体"/>
          <w:b w:val="0"/>
          <w:bCs w:val="0"/>
          <w:color w:val="auto"/>
          <w:sz w:val="30"/>
          <w:szCs w:val="30"/>
          <w:highlight w:val="none"/>
        </w:rPr>
      </w:pPr>
      <w:bookmarkStart w:id="179" w:name="_Toc54862176"/>
      <w:bookmarkStart w:id="180" w:name="_Toc69199923"/>
      <w:r>
        <w:rPr>
          <w:rFonts w:hint="eastAsia" w:eastAsia="黑体"/>
          <w:b w:val="0"/>
          <w:bCs w:val="0"/>
          <w:color w:val="auto"/>
          <w:sz w:val="30"/>
          <w:szCs w:val="30"/>
          <w:highlight w:val="none"/>
        </w:rPr>
        <w:t>第二部分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通用合同条件</w:t>
      </w:r>
      <w:bookmarkEnd w:id="179"/>
      <w:bookmarkEnd w:id="180"/>
    </w:p>
    <w:p>
      <w:pPr>
        <w:spacing w:line="312" w:lineRule="auto"/>
        <w:jc w:val="center"/>
        <w:rPr>
          <w:rFonts w:eastAsia="黑体"/>
          <w:bCs/>
          <w:color w:val="auto"/>
          <w:sz w:val="30"/>
          <w:highlight w:val="none"/>
        </w:rPr>
      </w:pPr>
    </w:p>
    <w:p>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说明：“通用合同条件”采用</w:t>
      </w:r>
      <w:r>
        <w:rPr>
          <w:rFonts w:hint="eastAsia"/>
          <w:color w:val="auto"/>
          <w:highlight w:val="none"/>
        </w:rPr>
        <w:t>《建设项目工程总承包合同（示范文本）》（</w:t>
      </w:r>
      <w:r>
        <w:rPr>
          <w:color w:val="auto"/>
          <w:highlight w:val="none"/>
        </w:rPr>
        <w:t>GF-2020-0216</w:t>
      </w:r>
      <w:r>
        <w:rPr>
          <w:rFonts w:hint="eastAsia"/>
          <w:color w:val="auto"/>
          <w:highlight w:val="none"/>
        </w:rPr>
        <w:t>）</w:t>
      </w:r>
      <w:r>
        <w:rPr>
          <w:rFonts w:hint="eastAsia" w:ascii="宋体" w:hAnsi="宋体"/>
          <w:bCs/>
          <w:color w:val="auto"/>
          <w:szCs w:val="21"/>
          <w:highlight w:val="none"/>
        </w:rPr>
        <w:t>的“通用合同条件”。</w:t>
      </w:r>
    </w:p>
    <w:p>
      <w:pPr>
        <w:rPr>
          <w:color w:val="auto"/>
          <w:szCs w:val="21"/>
          <w:highlight w:val="none"/>
        </w:rPr>
      </w:pPr>
      <w:r>
        <w:rPr>
          <w:color w:val="auto"/>
          <w:highlight w:val="none"/>
        </w:rPr>
        <w:br w:type="page"/>
      </w:r>
    </w:p>
    <w:p>
      <w:pPr>
        <w:pStyle w:val="4"/>
        <w:jc w:val="center"/>
        <w:rPr>
          <w:rFonts w:eastAsia="黑体"/>
          <w:b w:val="0"/>
          <w:bCs w:val="0"/>
          <w:color w:val="auto"/>
          <w:sz w:val="30"/>
          <w:szCs w:val="30"/>
          <w:highlight w:val="none"/>
        </w:rPr>
      </w:pPr>
      <w:bookmarkStart w:id="181" w:name="_Toc54862331"/>
      <w:bookmarkStart w:id="182" w:name="_Toc69199924"/>
      <w:r>
        <w:rPr>
          <w:rFonts w:hint="eastAsia" w:eastAsia="黑体"/>
          <w:b w:val="0"/>
          <w:bCs w:val="0"/>
          <w:color w:val="auto"/>
          <w:sz w:val="30"/>
          <w:szCs w:val="30"/>
          <w:highlight w:val="none"/>
        </w:rPr>
        <w:t>第三部分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专用合同条件</w:t>
      </w:r>
      <w:bookmarkEnd w:id="181"/>
      <w:bookmarkEnd w:id="182"/>
    </w:p>
    <w:p>
      <w:pPr>
        <w:spacing w:line="300" w:lineRule="auto"/>
        <w:ind w:left="630" w:hanging="630" w:hangingChars="300"/>
        <w:rPr>
          <w:color w:val="auto"/>
          <w:szCs w:val="21"/>
          <w:highlight w:val="none"/>
        </w:rPr>
      </w:pPr>
      <w:bookmarkStart w:id="183" w:name="_Toc54862332"/>
      <w:r>
        <w:rPr>
          <w:rFonts w:hint="eastAsia"/>
          <w:color w:val="auto"/>
          <w:szCs w:val="21"/>
          <w:highlight w:val="none"/>
        </w:rPr>
        <w:t>第</w:t>
      </w:r>
      <w:r>
        <w:rPr>
          <w:color w:val="auto"/>
          <w:szCs w:val="21"/>
          <w:highlight w:val="none"/>
        </w:rPr>
        <w:t>1条</w:t>
      </w:r>
      <w:r>
        <w:rPr>
          <w:rFonts w:hint="eastAsia"/>
          <w:color w:val="auto"/>
          <w:szCs w:val="21"/>
          <w:highlight w:val="none"/>
        </w:rPr>
        <w:t xml:space="preserve"> 一般约定</w:t>
      </w:r>
      <w:bookmarkEnd w:id="183"/>
    </w:p>
    <w:p>
      <w:pPr>
        <w:snapToGrid w:val="0"/>
        <w:spacing w:line="360" w:lineRule="auto"/>
        <w:ind w:firstLine="420"/>
        <w:rPr>
          <w:color w:val="auto"/>
          <w:szCs w:val="21"/>
          <w:highlight w:val="none"/>
        </w:rPr>
      </w:pPr>
      <w:r>
        <w:rPr>
          <w:color w:val="auto"/>
          <w:szCs w:val="21"/>
          <w:highlight w:val="none"/>
        </w:rPr>
        <w:t xml:space="preserve">1.1 </w:t>
      </w:r>
      <w:r>
        <w:rPr>
          <w:rFonts w:hint="eastAsia"/>
          <w:color w:val="auto"/>
          <w:szCs w:val="21"/>
          <w:highlight w:val="none"/>
        </w:rPr>
        <w:t>词语定义和解释</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合同</w:t>
      </w:r>
    </w:p>
    <w:p>
      <w:pPr>
        <w:snapToGrid w:val="0"/>
        <w:spacing w:line="360" w:lineRule="auto"/>
        <w:ind w:firstLine="420"/>
        <w:rPr>
          <w:color w:val="auto"/>
          <w:szCs w:val="21"/>
          <w:highlight w:val="none"/>
        </w:rPr>
      </w:pPr>
      <w:r>
        <w:rPr>
          <w:color w:val="auto"/>
          <w:szCs w:val="21"/>
          <w:highlight w:val="none"/>
        </w:rPr>
        <w:t xml:space="preserve">1.1.1.10 </w:t>
      </w:r>
      <w:r>
        <w:rPr>
          <w:rFonts w:hint="eastAsia"/>
          <w:color w:val="auto"/>
          <w:szCs w:val="21"/>
          <w:highlight w:val="none"/>
        </w:rPr>
        <w:t>其他合同文件：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工程和设备</w:t>
      </w:r>
    </w:p>
    <w:p>
      <w:pPr>
        <w:snapToGrid w:val="0"/>
        <w:spacing w:line="360" w:lineRule="auto"/>
        <w:ind w:firstLine="420"/>
        <w:rPr>
          <w:color w:val="auto"/>
          <w:szCs w:val="21"/>
          <w:highlight w:val="none"/>
        </w:rPr>
      </w:pPr>
      <w:r>
        <w:rPr>
          <w:color w:val="auto"/>
          <w:szCs w:val="21"/>
          <w:highlight w:val="none"/>
        </w:rPr>
        <w:t xml:space="preserve">1.1.3.5 </w:t>
      </w:r>
      <w:r>
        <w:rPr>
          <w:rFonts w:hint="eastAsia"/>
          <w:color w:val="auto"/>
          <w:szCs w:val="21"/>
          <w:highlight w:val="none"/>
        </w:rPr>
        <w:t>单位/区段工程的范围：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1.1.3.9 </w:t>
      </w:r>
      <w:r>
        <w:rPr>
          <w:rFonts w:hint="eastAsia"/>
          <w:color w:val="auto"/>
          <w:szCs w:val="21"/>
          <w:highlight w:val="none"/>
        </w:rPr>
        <w:t>作为施工场所组成部分的其他场所包括：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1.1.3.10 </w:t>
      </w:r>
      <w:r>
        <w:rPr>
          <w:rFonts w:hint="eastAsia"/>
          <w:color w:val="auto"/>
          <w:szCs w:val="21"/>
          <w:highlight w:val="none"/>
        </w:rPr>
        <w:t>永久占地包括：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1.1.3.11 </w:t>
      </w:r>
      <w:r>
        <w:rPr>
          <w:rFonts w:hint="eastAsia"/>
          <w:color w:val="auto"/>
          <w:szCs w:val="21"/>
          <w:highlight w:val="none"/>
        </w:rPr>
        <w:t>临时占地包括：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 </w:t>
      </w:r>
      <w:r>
        <w:rPr>
          <w:rFonts w:hint="eastAsia"/>
          <w:color w:val="auto"/>
          <w:szCs w:val="21"/>
          <w:highlight w:val="none"/>
        </w:rPr>
        <w:t>语言文字</w:t>
      </w:r>
    </w:p>
    <w:p>
      <w:pPr>
        <w:snapToGrid w:val="0"/>
        <w:spacing w:line="360" w:lineRule="auto"/>
        <w:ind w:firstLine="420"/>
        <w:rPr>
          <w:color w:val="auto"/>
          <w:szCs w:val="21"/>
          <w:highlight w:val="none"/>
        </w:rPr>
      </w:pPr>
      <w:r>
        <w:rPr>
          <w:rFonts w:hint="eastAsia"/>
          <w:color w:val="auto"/>
          <w:szCs w:val="21"/>
          <w:highlight w:val="none"/>
        </w:rPr>
        <w:t>本合同除使用汉语外，还使用</w:t>
      </w:r>
      <w:r>
        <w:rPr>
          <w:color w:val="auto"/>
          <w:szCs w:val="21"/>
          <w:highlight w:val="none"/>
          <w:u w:val="single"/>
        </w:rPr>
        <w:t xml:space="preserve">                    </w:t>
      </w:r>
      <w:r>
        <w:rPr>
          <w:rFonts w:hint="eastAsia"/>
          <w:color w:val="auto"/>
          <w:szCs w:val="21"/>
          <w:highlight w:val="none"/>
        </w:rPr>
        <w:t>语言。</w:t>
      </w:r>
    </w:p>
    <w:p>
      <w:pPr>
        <w:snapToGrid w:val="0"/>
        <w:spacing w:line="360" w:lineRule="auto"/>
        <w:ind w:firstLine="420"/>
        <w:rPr>
          <w:color w:val="auto"/>
          <w:szCs w:val="21"/>
          <w:highlight w:val="none"/>
        </w:rPr>
      </w:pPr>
      <w:r>
        <w:rPr>
          <w:color w:val="auto"/>
          <w:szCs w:val="21"/>
          <w:highlight w:val="none"/>
        </w:rPr>
        <w:t xml:space="preserve">1.3 </w:t>
      </w:r>
      <w:r>
        <w:rPr>
          <w:rFonts w:hint="eastAsia"/>
          <w:color w:val="auto"/>
          <w:szCs w:val="21"/>
          <w:highlight w:val="none"/>
        </w:rPr>
        <w:t>法律</w:t>
      </w:r>
    </w:p>
    <w:p>
      <w:pPr>
        <w:snapToGrid w:val="0"/>
        <w:spacing w:line="360" w:lineRule="auto"/>
        <w:ind w:firstLine="420"/>
        <w:rPr>
          <w:color w:val="auto"/>
          <w:szCs w:val="21"/>
          <w:highlight w:val="none"/>
        </w:rPr>
      </w:pPr>
      <w:r>
        <w:rPr>
          <w:rFonts w:hint="eastAsia"/>
          <w:color w:val="auto"/>
          <w:szCs w:val="21"/>
          <w:highlight w:val="none"/>
        </w:rPr>
        <w:t>适用于合同的其他规范性文件：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 </w:t>
      </w:r>
      <w:r>
        <w:rPr>
          <w:rFonts w:hint="eastAsia"/>
          <w:color w:val="auto"/>
          <w:szCs w:val="21"/>
          <w:highlight w:val="none"/>
        </w:rPr>
        <w:t>标准和规范</w:t>
      </w:r>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适用于本合同的标准、规范（名称）包括：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发包人提供的国外标准、规范的名称：</w:t>
      </w:r>
      <w:r>
        <w:rPr>
          <w:color w:val="auto"/>
          <w:szCs w:val="21"/>
          <w:highlight w:val="none"/>
          <w:u w:val="single"/>
        </w:rPr>
        <w:t xml:space="preserve">          </w:t>
      </w:r>
      <w:r>
        <w:rPr>
          <w:rFonts w:hint="eastAsia"/>
          <w:color w:val="auto"/>
          <w:szCs w:val="21"/>
          <w:highlight w:val="none"/>
        </w:rPr>
        <w:t>；发包人提供的国外标准、规范的份数：</w:t>
      </w:r>
      <w:r>
        <w:rPr>
          <w:color w:val="auto"/>
          <w:szCs w:val="21"/>
          <w:highlight w:val="none"/>
          <w:u w:val="single"/>
        </w:rPr>
        <w:t xml:space="preserve">           </w:t>
      </w:r>
      <w:r>
        <w:rPr>
          <w:rFonts w:hint="eastAsia"/>
          <w:color w:val="auto"/>
          <w:szCs w:val="21"/>
          <w:highlight w:val="none"/>
        </w:rPr>
        <w:t>；发包人提供的国外标准、规范的时间：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没有成文规范、标准规定的约定：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发包人对于工程的技术标准、功能要求：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 </w:t>
      </w:r>
      <w:r>
        <w:rPr>
          <w:rFonts w:hint="eastAsia"/>
          <w:color w:val="auto"/>
          <w:szCs w:val="21"/>
          <w:highlight w:val="none"/>
        </w:rPr>
        <w:t>合同文件的优先顺序</w:t>
      </w:r>
    </w:p>
    <w:p>
      <w:pPr>
        <w:snapToGrid w:val="0"/>
        <w:spacing w:line="360" w:lineRule="auto"/>
        <w:ind w:firstLine="420"/>
        <w:rPr>
          <w:color w:val="auto"/>
          <w:szCs w:val="21"/>
          <w:highlight w:val="none"/>
        </w:rPr>
      </w:pPr>
      <w:r>
        <w:rPr>
          <w:rFonts w:hint="eastAsia"/>
          <w:color w:val="auto"/>
          <w:szCs w:val="21"/>
          <w:highlight w:val="none"/>
        </w:rPr>
        <w:t>合同文件组成及优先顺序为：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 </w:t>
      </w:r>
      <w:r>
        <w:rPr>
          <w:rFonts w:hint="eastAsia"/>
          <w:color w:val="auto"/>
          <w:szCs w:val="21"/>
          <w:highlight w:val="none"/>
        </w:rPr>
        <w:t>文件的提供和照管</w:t>
      </w:r>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发包人文件的提供</w:t>
      </w:r>
    </w:p>
    <w:p>
      <w:pPr>
        <w:snapToGrid w:val="0"/>
        <w:spacing w:line="360" w:lineRule="auto"/>
        <w:ind w:firstLine="420"/>
        <w:rPr>
          <w:color w:val="auto"/>
          <w:szCs w:val="21"/>
          <w:highlight w:val="none"/>
        </w:rPr>
      </w:pPr>
      <w:r>
        <w:rPr>
          <w:rFonts w:hint="eastAsia"/>
          <w:color w:val="auto"/>
          <w:szCs w:val="21"/>
          <w:highlight w:val="none"/>
        </w:rPr>
        <w:t>发包人文件的提供期限、名称、数量和形式：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承包人文件的提供</w:t>
      </w:r>
    </w:p>
    <w:p>
      <w:pPr>
        <w:snapToGrid w:val="0"/>
        <w:spacing w:line="360" w:lineRule="auto"/>
        <w:ind w:firstLine="420"/>
        <w:rPr>
          <w:color w:val="auto"/>
          <w:szCs w:val="21"/>
          <w:highlight w:val="none"/>
        </w:rPr>
      </w:pPr>
      <w:r>
        <w:rPr>
          <w:rFonts w:hint="eastAsia"/>
          <w:color w:val="auto"/>
          <w:szCs w:val="21"/>
          <w:highlight w:val="none"/>
        </w:rPr>
        <w:t>承包人文件的内容、提供期限、名称、数量和形式：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1.6.4 </w:t>
      </w:r>
      <w:r>
        <w:rPr>
          <w:rFonts w:hint="eastAsia"/>
          <w:color w:val="auto"/>
          <w:szCs w:val="21"/>
          <w:highlight w:val="none"/>
        </w:rPr>
        <w:t>文件的照管</w:t>
      </w:r>
    </w:p>
    <w:p>
      <w:pPr>
        <w:snapToGrid w:val="0"/>
        <w:spacing w:line="360" w:lineRule="auto"/>
        <w:ind w:firstLine="420"/>
        <w:rPr>
          <w:color w:val="auto"/>
          <w:szCs w:val="21"/>
          <w:highlight w:val="none"/>
        </w:rPr>
      </w:pPr>
      <w:r>
        <w:rPr>
          <w:rFonts w:hint="eastAsia"/>
          <w:color w:val="auto"/>
          <w:szCs w:val="21"/>
          <w:highlight w:val="none"/>
        </w:rPr>
        <w:t>关于现场文件准备的约定：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 </w:t>
      </w:r>
      <w:r>
        <w:rPr>
          <w:rFonts w:hint="eastAsia"/>
          <w:color w:val="auto"/>
          <w:szCs w:val="21"/>
          <w:highlight w:val="none"/>
        </w:rPr>
        <w:t>联络</w:t>
      </w:r>
    </w:p>
    <w:p>
      <w:pPr>
        <w:snapToGrid w:val="0"/>
        <w:spacing w:line="360" w:lineRule="auto"/>
        <w:ind w:firstLine="420"/>
        <w:rPr>
          <w:color w:val="auto"/>
          <w:szCs w:val="21"/>
          <w:highlight w:val="none"/>
        </w:rPr>
      </w:pPr>
      <w:r>
        <w:rPr>
          <w:color w:val="auto"/>
          <w:szCs w:val="21"/>
          <w:highlight w:val="none"/>
        </w:rPr>
        <w:t xml:space="preserve">1.7.2 </w:t>
      </w:r>
      <w:r>
        <w:rPr>
          <w:rFonts w:hint="eastAsia"/>
          <w:color w:val="auto"/>
          <w:szCs w:val="21"/>
          <w:highlight w:val="none"/>
        </w:rPr>
        <w:t>发包人指定的送达方式（包括电子传输方式）：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 xml:space="preserve">承包人指定的送达方式（包括电子传输方式）：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 </w:t>
      </w:r>
      <w:r>
        <w:rPr>
          <w:rFonts w:hint="eastAsia"/>
          <w:color w:val="auto"/>
          <w:szCs w:val="21"/>
          <w:highlight w:val="none"/>
        </w:rPr>
        <w:t>知识产权</w:t>
      </w:r>
    </w:p>
    <w:p>
      <w:pPr>
        <w:snapToGrid w:val="0"/>
        <w:spacing w:line="360" w:lineRule="auto"/>
        <w:ind w:firstLine="420"/>
        <w:rPr>
          <w:color w:val="auto"/>
          <w:szCs w:val="21"/>
          <w:highlight w:val="none"/>
        </w:rPr>
      </w:pPr>
      <w:r>
        <w:rPr>
          <w:color w:val="auto"/>
          <w:szCs w:val="21"/>
          <w:highlight w:val="none"/>
        </w:rPr>
        <w:t xml:space="preserve">1.10.1 </w:t>
      </w:r>
      <w:r>
        <w:rPr>
          <w:rFonts w:hint="eastAsia"/>
          <w:color w:val="auto"/>
          <w:szCs w:val="21"/>
          <w:highlight w:val="none"/>
        </w:rPr>
        <w:t>由发包人（或以发包人名义）编制的《发包人要求》和其他文件的著作权归属：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1.10.2 </w:t>
      </w:r>
      <w:r>
        <w:rPr>
          <w:rFonts w:hint="eastAsia"/>
          <w:color w:val="auto"/>
          <w:szCs w:val="21"/>
          <w:highlight w:val="none"/>
        </w:rPr>
        <w:t>由承包人（或以承包人名义）为实施工程所编制的文件、承包人完成的设计工作成果和建造完成的建筑物的知识产权归属：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1.10.4 </w:t>
      </w:r>
      <w:r>
        <w:rPr>
          <w:rFonts w:hint="eastAsia"/>
          <w:color w:val="auto"/>
          <w:szCs w:val="21"/>
          <w:highlight w:val="none"/>
        </w:rPr>
        <w:t>承包人在投标文件中采用的专利、专有技术、技术秘密的使用费的承担方式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保密</w:t>
      </w:r>
    </w:p>
    <w:p>
      <w:pPr>
        <w:snapToGrid w:val="0"/>
        <w:spacing w:line="360" w:lineRule="auto"/>
        <w:ind w:firstLine="420"/>
        <w:rPr>
          <w:color w:val="auto"/>
          <w:szCs w:val="21"/>
          <w:highlight w:val="none"/>
        </w:rPr>
      </w:pPr>
      <w:r>
        <w:rPr>
          <w:rFonts w:hint="eastAsia"/>
          <w:color w:val="auto"/>
          <w:szCs w:val="21"/>
          <w:highlight w:val="none"/>
        </w:rPr>
        <w:t>双方订立的商业保密协议（名称）：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rFonts w:hint="eastAsia"/>
          <w:color w:val="auto"/>
          <w:szCs w:val="21"/>
          <w:highlight w:val="none"/>
        </w:rPr>
        <w:t>双方订立的技术保密协议（名称）：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责任限制</w:t>
      </w:r>
    </w:p>
    <w:p>
      <w:pPr>
        <w:snapToGrid w:val="0"/>
        <w:spacing w:line="360" w:lineRule="auto"/>
        <w:ind w:firstLine="420"/>
        <w:rPr>
          <w:color w:val="auto"/>
          <w:szCs w:val="21"/>
          <w:highlight w:val="none"/>
        </w:rPr>
      </w:pPr>
      <w:r>
        <w:rPr>
          <w:rFonts w:hint="eastAsia"/>
          <w:color w:val="auto"/>
          <w:szCs w:val="21"/>
          <w:highlight w:val="none"/>
        </w:rPr>
        <w:t>承包人对发包人赔偿责任的最高限额为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1.14 </w:t>
      </w:r>
      <w:r>
        <w:rPr>
          <w:rFonts w:hint="eastAsia"/>
          <w:color w:val="auto"/>
          <w:szCs w:val="21"/>
          <w:highlight w:val="none"/>
        </w:rPr>
        <w:t>建筑信息模型技术的应用</w:t>
      </w:r>
    </w:p>
    <w:p>
      <w:pPr>
        <w:snapToGrid w:val="0"/>
        <w:spacing w:line="360" w:lineRule="auto"/>
        <w:ind w:firstLine="420"/>
        <w:rPr>
          <w:color w:val="auto"/>
          <w:szCs w:val="21"/>
          <w:highlight w:val="none"/>
        </w:rPr>
      </w:pPr>
      <w:r>
        <w:rPr>
          <w:rFonts w:hint="eastAsia"/>
          <w:color w:val="auto"/>
          <w:szCs w:val="21"/>
          <w:highlight w:val="none"/>
        </w:rPr>
        <w:t>关于建筑信息模型技术的开发、使用、存储、传输、交付及费用约定如下：</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4" w:name="_Toc54862333"/>
      <w:r>
        <w:rPr>
          <w:rFonts w:hint="eastAsia"/>
          <w:color w:val="auto"/>
          <w:szCs w:val="21"/>
          <w:highlight w:val="none"/>
        </w:rPr>
        <w:t>第</w:t>
      </w:r>
      <w:r>
        <w:rPr>
          <w:color w:val="auto"/>
          <w:szCs w:val="21"/>
          <w:highlight w:val="none"/>
        </w:rPr>
        <w:t>2条</w:t>
      </w:r>
      <w:r>
        <w:rPr>
          <w:rFonts w:hint="eastAsia"/>
          <w:color w:val="auto"/>
          <w:szCs w:val="21"/>
          <w:highlight w:val="none"/>
        </w:rPr>
        <w:t xml:space="preserve"> 发包人</w:t>
      </w:r>
      <w:bookmarkEnd w:id="184"/>
    </w:p>
    <w:p>
      <w:pPr>
        <w:snapToGrid w:val="0"/>
        <w:spacing w:line="360" w:lineRule="auto"/>
        <w:ind w:firstLine="420"/>
        <w:rPr>
          <w:color w:val="auto"/>
          <w:szCs w:val="21"/>
          <w:highlight w:val="none"/>
        </w:rPr>
      </w:pPr>
      <w:r>
        <w:rPr>
          <w:color w:val="auto"/>
          <w:szCs w:val="21"/>
          <w:highlight w:val="none"/>
        </w:rPr>
        <w:t xml:space="preserve">2.2 </w:t>
      </w:r>
      <w:r>
        <w:rPr>
          <w:rFonts w:hint="eastAsia"/>
          <w:color w:val="auto"/>
          <w:szCs w:val="21"/>
          <w:highlight w:val="none"/>
        </w:rPr>
        <w:t>提供施工现场和工作条件</w:t>
      </w:r>
    </w:p>
    <w:p>
      <w:pPr>
        <w:snapToGrid w:val="0"/>
        <w:spacing w:line="360" w:lineRule="auto"/>
        <w:ind w:firstLine="420"/>
        <w:rPr>
          <w:color w:val="auto"/>
          <w:szCs w:val="21"/>
          <w:highlight w:val="none"/>
        </w:rPr>
      </w:pPr>
      <w:r>
        <w:rPr>
          <w:color w:val="auto"/>
          <w:szCs w:val="21"/>
          <w:highlight w:val="none"/>
        </w:rPr>
        <w:t xml:space="preserve">2.2.1 </w:t>
      </w:r>
      <w:r>
        <w:rPr>
          <w:rFonts w:hint="eastAsia"/>
          <w:color w:val="auto"/>
          <w:szCs w:val="21"/>
          <w:highlight w:val="none"/>
        </w:rPr>
        <w:t>提供施工现场</w:t>
      </w:r>
    </w:p>
    <w:p>
      <w:pPr>
        <w:snapToGrid w:val="0"/>
        <w:spacing w:line="360" w:lineRule="auto"/>
        <w:ind w:firstLine="420"/>
        <w:rPr>
          <w:color w:val="auto"/>
          <w:szCs w:val="21"/>
          <w:highlight w:val="none"/>
        </w:rPr>
      </w:pPr>
      <w:r>
        <w:rPr>
          <w:rFonts w:hint="eastAsia"/>
          <w:color w:val="auto"/>
          <w:szCs w:val="21"/>
          <w:highlight w:val="none"/>
        </w:rPr>
        <w:t>关于发包人提供施工现场的范围和期限：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2.2.2 </w:t>
      </w:r>
      <w:r>
        <w:rPr>
          <w:rFonts w:hint="eastAsia"/>
          <w:color w:val="auto"/>
          <w:szCs w:val="21"/>
          <w:highlight w:val="none"/>
        </w:rPr>
        <w:t>提供工作条件</w:t>
      </w:r>
    </w:p>
    <w:p>
      <w:pPr>
        <w:snapToGrid w:val="0"/>
        <w:spacing w:line="360" w:lineRule="auto"/>
        <w:ind w:firstLine="420"/>
        <w:rPr>
          <w:color w:val="auto"/>
          <w:szCs w:val="21"/>
          <w:highlight w:val="none"/>
        </w:rPr>
      </w:pPr>
      <w:r>
        <w:rPr>
          <w:rFonts w:hint="eastAsia"/>
          <w:color w:val="auto"/>
          <w:szCs w:val="21"/>
          <w:highlight w:val="none"/>
        </w:rPr>
        <w:t>关于发包人应负责提供的工作条件包括：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2.3 </w:t>
      </w:r>
      <w:r>
        <w:rPr>
          <w:rFonts w:hint="eastAsia"/>
          <w:color w:val="auto"/>
          <w:szCs w:val="21"/>
          <w:highlight w:val="none"/>
        </w:rPr>
        <w:t>提供基础资料</w:t>
      </w:r>
    </w:p>
    <w:p>
      <w:pPr>
        <w:snapToGrid w:val="0"/>
        <w:spacing w:line="360" w:lineRule="auto"/>
        <w:ind w:firstLine="420"/>
        <w:rPr>
          <w:color w:val="auto"/>
          <w:szCs w:val="21"/>
          <w:highlight w:val="none"/>
        </w:rPr>
      </w:pPr>
      <w:r>
        <w:rPr>
          <w:rFonts w:hint="eastAsia"/>
          <w:color w:val="auto"/>
          <w:szCs w:val="21"/>
          <w:highlight w:val="none"/>
        </w:rPr>
        <w:t>关于发包人应提供的基础资料的范围和期限：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 </w:t>
      </w:r>
      <w:r>
        <w:rPr>
          <w:rFonts w:hint="eastAsia"/>
          <w:color w:val="auto"/>
          <w:szCs w:val="21"/>
          <w:highlight w:val="none"/>
        </w:rPr>
        <w:t>支付合同价款</w:t>
      </w:r>
    </w:p>
    <w:p>
      <w:pPr>
        <w:snapToGrid w:val="0"/>
        <w:spacing w:line="360" w:lineRule="auto"/>
        <w:ind w:firstLine="420"/>
        <w:rPr>
          <w:color w:val="auto"/>
          <w:szCs w:val="21"/>
          <w:highlight w:val="none"/>
        </w:rPr>
      </w:pPr>
      <w:r>
        <w:rPr>
          <w:color w:val="auto"/>
          <w:szCs w:val="21"/>
          <w:highlight w:val="none"/>
        </w:rPr>
        <w:t xml:space="preserve">2.5.2 </w:t>
      </w:r>
      <w:r>
        <w:rPr>
          <w:rFonts w:hint="eastAsia"/>
          <w:color w:val="auto"/>
          <w:szCs w:val="21"/>
          <w:highlight w:val="none"/>
        </w:rPr>
        <w:t>发包人提供资金来源证明及资金安排的期限要求：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2.5.3 </w:t>
      </w:r>
      <w:r>
        <w:rPr>
          <w:rFonts w:hint="eastAsia"/>
          <w:color w:val="auto"/>
          <w:szCs w:val="21"/>
          <w:highlight w:val="none"/>
        </w:rPr>
        <w:t>发包人提供支付担保的形式、期限、金额（或比例）：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2.7 </w:t>
      </w:r>
      <w:r>
        <w:rPr>
          <w:rFonts w:hint="eastAsia"/>
          <w:color w:val="auto"/>
          <w:szCs w:val="21"/>
          <w:highlight w:val="none"/>
        </w:rPr>
        <w:t>其他义务</w:t>
      </w:r>
    </w:p>
    <w:p>
      <w:pPr>
        <w:snapToGrid w:val="0"/>
        <w:spacing w:line="360" w:lineRule="auto"/>
        <w:ind w:firstLine="420"/>
        <w:rPr>
          <w:color w:val="auto"/>
          <w:szCs w:val="21"/>
          <w:highlight w:val="none"/>
        </w:rPr>
      </w:pPr>
      <w:r>
        <w:rPr>
          <w:rFonts w:hint="eastAsia"/>
          <w:color w:val="auto"/>
          <w:szCs w:val="21"/>
          <w:highlight w:val="none"/>
        </w:rPr>
        <w:t>发包人应履行的其他义务：</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5" w:name="_Toc54862334"/>
      <w:r>
        <w:rPr>
          <w:rFonts w:hint="eastAsia"/>
          <w:color w:val="auto"/>
          <w:szCs w:val="21"/>
          <w:highlight w:val="none"/>
        </w:rPr>
        <w:t>第</w:t>
      </w:r>
      <w:r>
        <w:rPr>
          <w:color w:val="auto"/>
          <w:szCs w:val="21"/>
          <w:highlight w:val="none"/>
        </w:rPr>
        <w:t>3条</w:t>
      </w:r>
      <w:r>
        <w:rPr>
          <w:rFonts w:hint="eastAsia"/>
          <w:color w:val="auto"/>
          <w:szCs w:val="21"/>
          <w:highlight w:val="none"/>
        </w:rPr>
        <w:t xml:space="preserve"> 发包人的管理</w:t>
      </w:r>
      <w:bookmarkEnd w:id="185"/>
    </w:p>
    <w:p>
      <w:pPr>
        <w:snapToGrid w:val="0"/>
        <w:spacing w:line="360" w:lineRule="auto"/>
        <w:ind w:firstLine="420"/>
        <w:rPr>
          <w:color w:val="auto"/>
          <w:szCs w:val="21"/>
          <w:highlight w:val="none"/>
        </w:rPr>
      </w:pPr>
      <w:r>
        <w:rPr>
          <w:color w:val="auto"/>
          <w:szCs w:val="21"/>
          <w:highlight w:val="none"/>
        </w:rPr>
        <w:t xml:space="preserve">3.1 </w:t>
      </w:r>
      <w:r>
        <w:rPr>
          <w:rFonts w:hint="eastAsia"/>
          <w:color w:val="auto"/>
          <w:szCs w:val="21"/>
          <w:highlight w:val="none"/>
        </w:rPr>
        <w:t>发包人代表</w:t>
      </w:r>
    </w:p>
    <w:p>
      <w:pPr>
        <w:snapToGrid w:val="0"/>
        <w:spacing w:line="360" w:lineRule="auto"/>
        <w:ind w:firstLine="420"/>
        <w:rPr>
          <w:color w:val="auto"/>
          <w:szCs w:val="21"/>
          <w:highlight w:val="none"/>
        </w:rPr>
      </w:pPr>
      <w:r>
        <w:rPr>
          <w:rFonts w:hint="eastAsia"/>
          <w:color w:val="auto"/>
          <w:szCs w:val="21"/>
          <w:highlight w:val="none"/>
        </w:rPr>
        <w:t>发包人代表的姓名：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发包人代表的身份证号：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发包人对发包人代表的授权范围如下：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3.2 </w:t>
      </w:r>
      <w:r>
        <w:rPr>
          <w:rFonts w:hint="eastAsia"/>
          <w:color w:val="auto"/>
          <w:szCs w:val="21"/>
          <w:highlight w:val="none"/>
        </w:rPr>
        <w:t>发包人人员</w:t>
      </w:r>
    </w:p>
    <w:p>
      <w:pPr>
        <w:snapToGrid w:val="0"/>
        <w:spacing w:line="360" w:lineRule="auto"/>
        <w:ind w:firstLine="420"/>
        <w:rPr>
          <w:color w:val="auto"/>
          <w:szCs w:val="21"/>
          <w:highlight w:val="none"/>
        </w:rPr>
      </w:pPr>
      <w:r>
        <w:rPr>
          <w:color w:val="auto"/>
          <w:szCs w:val="21"/>
          <w:highlight w:val="none"/>
        </w:rPr>
        <w:t>发包人人员姓名：</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发包人人员职务：</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3.3 </w:t>
      </w:r>
      <w:r>
        <w:rPr>
          <w:rFonts w:hint="eastAsia"/>
          <w:color w:val="auto"/>
          <w:szCs w:val="21"/>
          <w:highlight w:val="none"/>
        </w:rPr>
        <w:t>工程师</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.3.1 </w:t>
      </w:r>
      <w:r>
        <w:rPr>
          <w:rFonts w:hint="eastAsia"/>
          <w:color w:val="auto"/>
          <w:szCs w:val="21"/>
          <w:highlight w:val="none"/>
        </w:rPr>
        <w:t>工程师名称</w:t>
      </w:r>
      <w:r>
        <w:rPr>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工程师监督管理</w:t>
      </w:r>
      <w:r>
        <w:rPr>
          <w:color w:val="auto"/>
          <w:szCs w:val="21"/>
          <w:highlight w:val="none"/>
        </w:rPr>
        <w:t>范围</w:t>
      </w:r>
      <w:r>
        <w:rPr>
          <w:rFonts w:hint="eastAsia"/>
          <w:color w:val="auto"/>
          <w:szCs w:val="21"/>
          <w:highlight w:val="none"/>
        </w:rPr>
        <w:t>、内容</w:t>
      </w:r>
      <w:r>
        <w:rPr>
          <w:color w:val="auto"/>
          <w:szCs w:val="21"/>
          <w:highlight w:val="none"/>
        </w:rPr>
        <w:t>：</w:t>
      </w:r>
      <w:r>
        <w:rPr>
          <w:color w:val="auto"/>
          <w:szCs w:val="21"/>
          <w:highlight w:val="none"/>
          <w:u w:val="single"/>
        </w:rPr>
        <w:t xml:space="preserve">                          </w:t>
      </w:r>
      <w:r>
        <w:rPr>
          <w:rFonts w:hint="eastAsia"/>
          <w:color w:val="auto"/>
          <w:szCs w:val="21"/>
          <w:highlight w:val="none"/>
        </w:rPr>
        <w:t>；工程师</w:t>
      </w:r>
      <w:r>
        <w:rPr>
          <w:color w:val="auto"/>
          <w:szCs w:val="21"/>
          <w:highlight w:val="none"/>
        </w:rPr>
        <w:t>权限：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3.6 </w:t>
      </w:r>
      <w:r>
        <w:rPr>
          <w:rFonts w:hint="eastAsia"/>
          <w:color w:val="auto"/>
          <w:szCs w:val="21"/>
          <w:highlight w:val="none"/>
        </w:rPr>
        <w:t>商定或确定</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.6.2 关于</w:t>
      </w:r>
      <w:r>
        <w:rPr>
          <w:rFonts w:hint="eastAsia"/>
          <w:color w:val="auto"/>
          <w:szCs w:val="21"/>
          <w:highlight w:val="none"/>
        </w:rPr>
        <w:t>商定</w:t>
      </w:r>
      <w:r>
        <w:rPr>
          <w:color w:val="auto"/>
          <w:szCs w:val="21"/>
          <w:highlight w:val="none"/>
        </w:rPr>
        <w:t>时间限制的具体约定：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3.6.3 关于</w:t>
      </w:r>
      <w:r>
        <w:rPr>
          <w:rFonts w:hint="eastAsia"/>
          <w:color w:val="auto"/>
          <w:szCs w:val="21"/>
          <w:highlight w:val="none"/>
        </w:rPr>
        <w:t>商定或确定</w:t>
      </w:r>
      <w:r>
        <w:rPr>
          <w:color w:val="auto"/>
          <w:szCs w:val="21"/>
          <w:highlight w:val="none"/>
        </w:rPr>
        <w:t>效力的具体约定：</w:t>
      </w:r>
      <w:r>
        <w:rPr>
          <w:color w:val="auto"/>
          <w:szCs w:val="21"/>
          <w:highlight w:val="none"/>
          <w:u w:val="single"/>
        </w:rPr>
        <w:t xml:space="preserve">               </w:t>
      </w:r>
      <w:r>
        <w:rPr>
          <w:rFonts w:hint="eastAsia"/>
          <w:color w:val="auto"/>
          <w:szCs w:val="21"/>
          <w:highlight w:val="none"/>
        </w:rPr>
        <w:t>；</w:t>
      </w:r>
      <w:r>
        <w:rPr>
          <w:color w:val="auto"/>
          <w:szCs w:val="21"/>
          <w:highlight w:val="none"/>
        </w:rPr>
        <w:t>关于对</w:t>
      </w:r>
      <w:r>
        <w:rPr>
          <w:rFonts w:hint="eastAsia"/>
          <w:color w:val="auto"/>
          <w:szCs w:val="21"/>
          <w:highlight w:val="none"/>
        </w:rPr>
        <w:t>工程师的确定提出异议</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3.7 </w:t>
      </w:r>
      <w:r>
        <w:rPr>
          <w:rFonts w:hint="eastAsia"/>
          <w:color w:val="auto"/>
          <w:szCs w:val="21"/>
          <w:highlight w:val="none"/>
        </w:rPr>
        <w:t>会议</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.7.1 关于召开会议</w:t>
      </w:r>
      <w:r>
        <w:rPr>
          <w:rFonts w:hint="eastAsia"/>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.7.2 </w:t>
      </w:r>
      <w:r>
        <w:rPr>
          <w:rFonts w:hint="eastAsia"/>
          <w:color w:val="auto"/>
          <w:szCs w:val="21"/>
          <w:highlight w:val="none"/>
        </w:rPr>
        <w:t>关于保存和提供会议纪要</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6" w:name="_Toc54862335"/>
      <w:r>
        <w:rPr>
          <w:rFonts w:hint="eastAsia"/>
          <w:color w:val="auto"/>
          <w:szCs w:val="21"/>
          <w:highlight w:val="none"/>
        </w:rPr>
        <w:t>第</w:t>
      </w:r>
      <w:r>
        <w:rPr>
          <w:color w:val="auto"/>
          <w:szCs w:val="21"/>
          <w:highlight w:val="none"/>
        </w:rPr>
        <w:t>4条</w:t>
      </w:r>
      <w:r>
        <w:rPr>
          <w:rFonts w:hint="eastAsia"/>
          <w:color w:val="auto"/>
          <w:szCs w:val="21"/>
          <w:highlight w:val="none"/>
        </w:rPr>
        <w:t xml:space="preserve"> 承包人</w:t>
      </w:r>
      <w:bookmarkEnd w:id="186"/>
    </w:p>
    <w:p>
      <w:pPr>
        <w:snapToGrid w:val="0"/>
        <w:spacing w:line="360" w:lineRule="auto"/>
        <w:ind w:firstLine="420"/>
        <w:rPr>
          <w:color w:val="auto"/>
          <w:szCs w:val="21"/>
          <w:highlight w:val="none"/>
        </w:rPr>
      </w:pPr>
      <w:r>
        <w:rPr>
          <w:color w:val="auto"/>
          <w:szCs w:val="21"/>
          <w:highlight w:val="none"/>
        </w:rPr>
        <w:t xml:space="preserve">4.1 </w:t>
      </w:r>
      <w:r>
        <w:rPr>
          <w:rFonts w:hint="eastAsia"/>
          <w:color w:val="auto"/>
          <w:szCs w:val="21"/>
          <w:highlight w:val="none"/>
        </w:rPr>
        <w:t>承包人的一般义务</w:t>
      </w:r>
    </w:p>
    <w:p>
      <w:pPr>
        <w:snapToGrid w:val="0"/>
        <w:spacing w:line="360" w:lineRule="auto"/>
        <w:ind w:firstLine="420"/>
        <w:rPr>
          <w:color w:val="auto"/>
          <w:szCs w:val="21"/>
          <w:highlight w:val="none"/>
        </w:rPr>
      </w:pPr>
      <w:r>
        <w:rPr>
          <w:rFonts w:hint="eastAsia"/>
          <w:color w:val="auto"/>
          <w:szCs w:val="21"/>
          <w:highlight w:val="none"/>
        </w:rPr>
        <w:t>承包人应履行的其他义务：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4.2 </w:t>
      </w:r>
      <w:r>
        <w:rPr>
          <w:rFonts w:hint="eastAsia"/>
          <w:color w:val="auto"/>
          <w:szCs w:val="21"/>
          <w:highlight w:val="none"/>
        </w:rPr>
        <w:t>履约担保</w:t>
      </w:r>
    </w:p>
    <w:p>
      <w:pPr>
        <w:snapToGrid w:val="0"/>
        <w:spacing w:line="360" w:lineRule="auto"/>
        <w:ind w:firstLine="420"/>
        <w:rPr>
          <w:color w:val="auto"/>
          <w:szCs w:val="21"/>
          <w:highlight w:val="none"/>
        </w:rPr>
      </w:pPr>
      <w:r>
        <w:rPr>
          <w:rFonts w:hint="eastAsia"/>
          <w:color w:val="auto"/>
          <w:szCs w:val="21"/>
          <w:highlight w:val="none"/>
        </w:rPr>
        <w:t>承包人是否提供履约担保：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履约担保的方式、金额及期限: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 </w:t>
      </w:r>
      <w:r>
        <w:rPr>
          <w:rFonts w:hint="eastAsia"/>
          <w:color w:val="auto"/>
          <w:szCs w:val="21"/>
          <w:highlight w:val="none"/>
        </w:rPr>
        <w:t>工程总承包项目经理</w:t>
      </w:r>
    </w:p>
    <w:p>
      <w:pPr>
        <w:snapToGrid w:val="0"/>
        <w:spacing w:line="360" w:lineRule="auto"/>
        <w:ind w:firstLine="420"/>
        <w:rPr>
          <w:color w:val="auto"/>
          <w:szCs w:val="21"/>
          <w:highlight w:val="none"/>
        </w:rPr>
      </w:pPr>
      <w:r>
        <w:rPr>
          <w:color w:val="auto"/>
          <w:szCs w:val="21"/>
          <w:highlight w:val="none"/>
        </w:rPr>
        <w:t xml:space="preserve">4.3.1 </w:t>
      </w:r>
      <w:r>
        <w:rPr>
          <w:rFonts w:hint="eastAsia"/>
          <w:color w:val="auto"/>
          <w:szCs w:val="21"/>
          <w:highlight w:val="none"/>
        </w:rPr>
        <w:t>工程总承包项目经理姓名：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执业资格或职称类型：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执业资格证或职称证号码：</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承包人未提交劳动合同，以及没有为工程总承包项目经理缴纳社会保险证明的违约责任：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4.3.2 </w:t>
      </w:r>
      <w:r>
        <w:rPr>
          <w:rFonts w:hint="eastAsia"/>
          <w:color w:val="auto"/>
          <w:szCs w:val="21"/>
          <w:highlight w:val="none"/>
        </w:rPr>
        <w:t>工程总承包项目经理每月在现场的时间要求：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工程总承包项目经理未经批准擅自离开施工现场的违约责任：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4.3.3 </w:t>
      </w:r>
      <w:r>
        <w:rPr>
          <w:rFonts w:hint="eastAsia"/>
          <w:color w:val="auto"/>
          <w:szCs w:val="21"/>
          <w:highlight w:val="none"/>
        </w:rPr>
        <w:t>承包人对工程总承包项目经理的授权范围: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4.3.4 </w:t>
      </w:r>
      <w:r>
        <w:rPr>
          <w:rFonts w:hint="eastAsia"/>
          <w:color w:val="auto"/>
          <w:szCs w:val="21"/>
          <w:highlight w:val="none"/>
        </w:rPr>
        <w:t>承包人</w:t>
      </w:r>
      <w:r>
        <w:rPr>
          <w:color w:val="auto"/>
          <w:szCs w:val="21"/>
          <w:highlight w:val="none"/>
        </w:rPr>
        <w:t>擅自更换工程总承包项目经理的违约</w:t>
      </w:r>
      <w:r>
        <w:rPr>
          <w:rFonts w:hint="eastAsia"/>
          <w:color w:val="auto"/>
          <w:szCs w:val="21"/>
          <w:highlight w:val="none"/>
        </w:rPr>
        <w:t>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4.3.5 承包人无正当理由拒绝更换工程总承包项目经理的违约责任</w:t>
      </w:r>
      <w:r>
        <w:rPr>
          <w:rFonts w:hint="eastAsia"/>
          <w:color w:val="auto"/>
          <w:szCs w:val="21"/>
          <w:highlight w:val="none"/>
        </w:rPr>
        <w:t>:</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 </w:t>
      </w:r>
      <w:r>
        <w:rPr>
          <w:rFonts w:hint="eastAsia"/>
          <w:color w:val="auto"/>
          <w:szCs w:val="21"/>
          <w:highlight w:val="none"/>
        </w:rPr>
        <w:t>承包人人员</w:t>
      </w:r>
    </w:p>
    <w:p>
      <w:pPr>
        <w:snapToGrid w:val="0"/>
        <w:spacing w:line="360" w:lineRule="auto"/>
        <w:ind w:firstLine="420"/>
        <w:rPr>
          <w:color w:val="auto"/>
          <w:szCs w:val="21"/>
          <w:highlight w:val="none"/>
        </w:rPr>
      </w:pPr>
      <w:r>
        <w:rPr>
          <w:color w:val="auto"/>
          <w:szCs w:val="21"/>
          <w:highlight w:val="none"/>
        </w:rPr>
        <w:t xml:space="preserve">4.4.1 </w:t>
      </w:r>
      <w:r>
        <w:rPr>
          <w:rFonts w:hint="eastAsia"/>
          <w:color w:val="auto"/>
          <w:szCs w:val="21"/>
          <w:highlight w:val="none"/>
        </w:rPr>
        <w:t>人员安排</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提交</w:t>
      </w:r>
      <w:r>
        <w:rPr>
          <w:color w:val="auto"/>
          <w:szCs w:val="21"/>
          <w:highlight w:val="none"/>
        </w:rPr>
        <w:t>项目管理机构及施工现场人员安排的报告</w:t>
      </w:r>
      <w:r>
        <w:rPr>
          <w:rFonts w:hint="eastAsia"/>
          <w:color w:val="auto"/>
          <w:szCs w:val="21"/>
          <w:highlight w:val="none"/>
        </w:rPr>
        <w:t>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承包人提交关键人员信息及注册执业资格等证明其具备担任关键人员能力的相关文件的期限：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4.4.2 </w:t>
      </w:r>
      <w:r>
        <w:rPr>
          <w:rFonts w:hint="eastAsia"/>
          <w:color w:val="auto"/>
          <w:szCs w:val="21"/>
          <w:highlight w:val="none"/>
        </w:rPr>
        <w:t>关键人员更换</w:t>
      </w:r>
    </w:p>
    <w:p>
      <w:pPr>
        <w:snapToGrid w:val="0"/>
        <w:spacing w:line="360" w:lineRule="auto"/>
        <w:ind w:firstLine="420"/>
        <w:rPr>
          <w:color w:val="auto"/>
          <w:szCs w:val="21"/>
          <w:highlight w:val="none"/>
        </w:rPr>
      </w:pPr>
      <w:r>
        <w:rPr>
          <w:color w:val="auto"/>
          <w:szCs w:val="21"/>
          <w:highlight w:val="none"/>
        </w:rPr>
        <w:t>承包人擅自更换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承包人无正当理由拒绝撤换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4.4.3 </w:t>
      </w:r>
      <w:r>
        <w:rPr>
          <w:rFonts w:hint="eastAsia"/>
          <w:color w:val="auto"/>
          <w:szCs w:val="21"/>
          <w:highlight w:val="none"/>
        </w:rPr>
        <w:t>现场管理关键人员在岗要求</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现场管理关键</w:t>
      </w:r>
      <w:r>
        <w:rPr>
          <w:color w:val="auto"/>
          <w:szCs w:val="21"/>
          <w:highlight w:val="none"/>
        </w:rPr>
        <w:t>人员离开施工现场的批准要求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承包人现场管理关键人员擅自离开施工现场的违约责任：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 </w:t>
      </w:r>
      <w:r>
        <w:rPr>
          <w:rFonts w:hint="eastAsia"/>
          <w:color w:val="auto"/>
          <w:szCs w:val="21"/>
          <w:highlight w:val="none"/>
        </w:rPr>
        <w:t>分包</w:t>
      </w:r>
    </w:p>
    <w:p>
      <w:pPr>
        <w:snapToGrid w:val="0"/>
        <w:spacing w:line="360" w:lineRule="auto"/>
        <w:ind w:firstLine="420"/>
        <w:rPr>
          <w:color w:val="auto"/>
          <w:szCs w:val="21"/>
          <w:highlight w:val="none"/>
        </w:rPr>
      </w:pPr>
      <w:r>
        <w:rPr>
          <w:color w:val="auto"/>
          <w:szCs w:val="21"/>
          <w:highlight w:val="none"/>
        </w:rPr>
        <w:t xml:space="preserve">4.5.1 </w:t>
      </w:r>
      <w:r>
        <w:rPr>
          <w:rFonts w:hint="eastAsia"/>
          <w:color w:val="auto"/>
          <w:szCs w:val="21"/>
          <w:highlight w:val="none"/>
        </w:rPr>
        <w:t>一般约定</w:t>
      </w:r>
    </w:p>
    <w:p>
      <w:pPr>
        <w:snapToGrid w:val="0"/>
        <w:spacing w:line="360" w:lineRule="auto"/>
        <w:ind w:firstLine="420"/>
        <w:rPr>
          <w:color w:val="auto"/>
          <w:szCs w:val="21"/>
          <w:highlight w:val="none"/>
        </w:rPr>
      </w:pPr>
      <w:r>
        <w:rPr>
          <w:color w:val="auto"/>
          <w:szCs w:val="21"/>
          <w:highlight w:val="none"/>
        </w:rPr>
        <w:t>禁止分包的工程包括：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4.5.2 </w:t>
      </w:r>
      <w:r>
        <w:rPr>
          <w:rFonts w:hint="eastAsia"/>
          <w:color w:val="auto"/>
          <w:szCs w:val="21"/>
          <w:highlight w:val="none"/>
        </w:rPr>
        <w:t>分包的确定</w:t>
      </w:r>
    </w:p>
    <w:p>
      <w:pPr>
        <w:snapToGrid w:val="0"/>
        <w:spacing w:line="360" w:lineRule="auto"/>
        <w:ind w:firstLine="420"/>
        <w:rPr>
          <w:color w:val="auto"/>
          <w:szCs w:val="21"/>
          <w:highlight w:val="none"/>
        </w:rPr>
      </w:pPr>
      <w:r>
        <w:rPr>
          <w:color w:val="auto"/>
          <w:szCs w:val="21"/>
          <w:highlight w:val="none"/>
        </w:rPr>
        <w:t>允许分包的工程包括：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其他关于分包的约定：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4.5.5 </w:t>
      </w:r>
      <w:r>
        <w:rPr>
          <w:rFonts w:hint="eastAsia"/>
          <w:color w:val="auto"/>
          <w:szCs w:val="21"/>
          <w:highlight w:val="none"/>
        </w:rPr>
        <w:t>分包合同价款支付</w:t>
      </w:r>
    </w:p>
    <w:p>
      <w:pPr>
        <w:snapToGrid w:val="0"/>
        <w:spacing w:line="360" w:lineRule="auto"/>
        <w:ind w:firstLine="420"/>
        <w:rPr>
          <w:color w:val="auto"/>
          <w:szCs w:val="21"/>
          <w:highlight w:val="none"/>
        </w:rPr>
      </w:pPr>
      <w:r>
        <w:rPr>
          <w:rFonts w:hint="eastAsia"/>
          <w:color w:val="auto"/>
          <w:szCs w:val="21"/>
          <w:highlight w:val="none"/>
        </w:rPr>
        <w:t>关于分包合同价款支付的约定：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4.6 </w:t>
      </w:r>
      <w:r>
        <w:rPr>
          <w:rFonts w:hint="eastAsia"/>
          <w:color w:val="auto"/>
          <w:szCs w:val="21"/>
          <w:highlight w:val="none"/>
        </w:rPr>
        <w:t>联合体</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.6.2 </w:t>
      </w:r>
      <w:r>
        <w:rPr>
          <w:rFonts w:hint="eastAsia"/>
          <w:color w:val="auto"/>
          <w:szCs w:val="21"/>
          <w:highlight w:val="none"/>
          <w:lang w:eastAsia="zh-CN"/>
        </w:rPr>
        <w:t>联合体各方</w:t>
      </w:r>
      <w:r>
        <w:rPr>
          <w:rFonts w:hint="eastAsia"/>
          <w:color w:val="auto"/>
          <w:szCs w:val="21"/>
          <w:highlight w:val="none"/>
        </w:rPr>
        <w:t>的分工、费用收取、发票开具等事项：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4.7 </w:t>
      </w:r>
      <w:r>
        <w:rPr>
          <w:rFonts w:hint="eastAsia"/>
          <w:color w:val="auto"/>
          <w:szCs w:val="21"/>
          <w:highlight w:val="none"/>
        </w:rPr>
        <w:t>承包人现场查勘</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.7.1 </w:t>
      </w:r>
      <w:r>
        <w:rPr>
          <w:rFonts w:hint="eastAsia"/>
          <w:color w:val="auto"/>
          <w:szCs w:val="21"/>
          <w:highlight w:val="none"/>
        </w:rPr>
        <w:t>双方当事人对现场查勘的责任承担的约定：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4.8 </w:t>
      </w:r>
      <w:r>
        <w:rPr>
          <w:rFonts w:hint="eastAsia"/>
          <w:color w:val="auto"/>
          <w:szCs w:val="21"/>
          <w:highlight w:val="none"/>
        </w:rPr>
        <w:t>不可预见的困难</w:t>
      </w:r>
    </w:p>
    <w:p>
      <w:pPr>
        <w:snapToGrid w:val="0"/>
        <w:spacing w:line="360" w:lineRule="auto"/>
        <w:ind w:firstLine="420"/>
        <w:rPr>
          <w:color w:val="auto"/>
          <w:szCs w:val="21"/>
          <w:highlight w:val="none"/>
        </w:rPr>
      </w:pPr>
      <w:r>
        <w:rPr>
          <w:rFonts w:hint="eastAsia"/>
          <w:color w:val="auto"/>
          <w:szCs w:val="21"/>
          <w:highlight w:val="none"/>
        </w:rPr>
        <w:t>不可预见的困难包括：</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87" w:name="_Toc54862336"/>
      <w:r>
        <w:rPr>
          <w:rFonts w:hint="eastAsia"/>
          <w:color w:val="auto"/>
          <w:szCs w:val="21"/>
          <w:highlight w:val="none"/>
        </w:rPr>
        <w:t>第</w:t>
      </w:r>
      <w:r>
        <w:rPr>
          <w:color w:val="auto"/>
          <w:szCs w:val="21"/>
          <w:highlight w:val="none"/>
        </w:rPr>
        <w:t>5条</w:t>
      </w:r>
      <w:r>
        <w:rPr>
          <w:rFonts w:hint="eastAsia"/>
          <w:color w:val="auto"/>
          <w:szCs w:val="21"/>
          <w:highlight w:val="none"/>
        </w:rPr>
        <w:t xml:space="preserve"> 设计</w:t>
      </w:r>
      <w:bookmarkEnd w:id="187"/>
    </w:p>
    <w:p>
      <w:pPr>
        <w:snapToGrid w:val="0"/>
        <w:spacing w:line="360" w:lineRule="auto"/>
        <w:ind w:firstLine="420"/>
        <w:rPr>
          <w:color w:val="auto"/>
          <w:szCs w:val="21"/>
          <w:highlight w:val="none"/>
        </w:rPr>
      </w:pPr>
      <w:r>
        <w:rPr>
          <w:color w:val="auto"/>
          <w:szCs w:val="21"/>
          <w:highlight w:val="none"/>
        </w:rPr>
        <w:t xml:space="preserve">5.2 </w:t>
      </w:r>
      <w:r>
        <w:rPr>
          <w:rFonts w:hint="eastAsia"/>
          <w:color w:val="auto"/>
          <w:szCs w:val="21"/>
          <w:highlight w:val="none"/>
        </w:rPr>
        <w:t>承包人文件审查</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.2.1 </w:t>
      </w:r>
      <w:r>
        <w:rPr>
          <w:rFonts w:hint="eastAsia"/>
          <w:color w:val="auto"/>
          <w:szCs w:val="21"/>
          <w:highlight w:val="none"/>
        </w:rPr>
        <w:t>承包人文件审查的期限：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5.2.2 </w:t>
      </w:r>
      <w:r>
        <w:rPr>
          <w:rFonts w:hint="eastAsia"/>
          <w:color w:val="auto"/>
          <w:szCs w:val="21"/>
          <w:highlight w:val="none"/>
        </w:rPr>
        <w:t>审查会议的审查形式和时间安排为：</w:t>
      </w:r>
      <w:r>
        <w:rPr>
          <w:color w:val="auto"/>
          <w:szCs w:val="21"/>
          <w:highlight w:val="none"/>
          <w:u w:val="single"/>
        </w:rPr>
        <w:t xml:space="preserve">            </w:t>
      </w:r>
      <w:r>
        <w:rPr>
          <w:rFonts w:hint="eastAsia"/>
          <w:color w:val="auto"/>
          <w:szCs w:val="21"/>
          <w:highlight w:val="none"/>
        </w:rPr>
        <w:t>，审查会议的相关费用由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.2.3 </w:t>
      </w:r>
      <w:r>
        <w:rPr>
          <w:rFonts w:hint="eastAsia"/>
          <w:color w:val="auto"/>
          <w:szCs w:val="21"/>
          <w:highlight w:val="none"/>
        </w:rPr>
        <w:t>关于第三方审查单位的约定：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5.3 </w:t>
      </w:r>
      <w:r>
        <w:rPr>
          <w:rFonts w:hint="eastAsia"/>
          <w:color w:val="auto"/>
          <w:szCs w:val="21"/>
          <w:highlight w:val="none"/>
        </w:rPr>
        <w:t>培训</w:t>
      </w:r>
    </w:p>
    <w:p>
      <w:pPr>
        <w:snapToGrid w:val="0"/>
        <w:spacing w:line="360" w:lineRule="auto"/>
        <w:ind w:firstLine="420"/>
        <w:rPr>
          <w:color w:val="auto"/>
          <w:szCs w:val="21"/>
          <w:highlight w:val="none"/>
        </w:rPr>
      </w:pPr>
      <w:r>
        <w:rPr>
          <w:rFonts w:hint="eastAsia"/>
          <w:color w:val="auto"/>
          <w:szCs w:val="21"/>
          <w:highlight w:val="none"/>
        </w:rPr>
        <w:t>培训的时长为</w:t>
      </w:r>
      <w:r>
        <w:rPr>
          <w:color w:val="auto"/>
          <w:szCs w:val="21"/>
          <w:highlight w:val="none"/>
          <w:u w:val="single"/>
        </w:rPr>
        <w:t xml:space="preserve">             </w:t>
      </w:r>
      <w:r>
        <w:rPr>
          <w:rFonts w:hint="eastAsia"/>
          <w:color w:val="auto"/>
          <w:szCs w:val="21"/>
          <w:highlight w:val="none"/>
        </w:rPr>
        <w:t>，承包人应为培训提供的人员、设施和其它必要条件为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5.4 </w:t>
      </w:r>
      <w:r>
        <w:rPr>
          <w:rFonts w:hint="eastAsia"/>
          <w:color w:val="auto"/>
          <w:szCs w:val="21"/>
          <w:highlight w:val="none"/>
        </w:rPr>
        <w:t>竣工文件</w:t>
      </w:r>
    </w:p>
    <w:p>
      <w:pPr>
        <w:snapToGrid w:val="0"/>
        <w:spacing w:line="360" w:lineRule="auto"/>
        <w:ind w:firstLine="420"/>
        <w:rPr>
          <w:color w:val="auto"/>
          <w:szCs w:val="21"/>
          <w:highlight w:val="none"/>
        </w:rPr>
      </w:pPr>
      <w:r>
        <w:rPr>
          <w:color w:val="auto"/>
          <w:szCs w:val="21"/>
          <w:highlight w:val="none"/>
        </w:rPr>
        <w:t xml:space="preserve">5.4.1 </w:t>
      </w:r>
      <w:r>
        <w:rPr>
          <w:rFonts w:hint="eastAsia"/>
          <w:color w:val="auto"/>
          <w:szCs w:val="21"/>
          <w:highlight w:val="none"/>
        </w:rPr>
        <w:t>竣工文件的形式、提供的份数、技术标准以及其它相关要求：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.4.3 </w:t>
      </w:r>
      <w:r>
        <w:rPr>
          <w:rFonts w:hint="eastAsia"/>
          <w:color w:val="auto"/>
          <w:szCs w:val="21"/>
          <w:highlight w:val="none"/>
        </w:rPr>
        <w:t>关于竣工文件的其他约定：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5.5 </w:t>
      </w:r>
      <w:r>
        <w:rPr>
          <w:rFonts w:hint="eastAsia"/>
          <w:color w:val="auto"/>
          <w:szCs w:val="21"/>
          <w:highlight w:val="none"/>
        </w:rPr>
        <w:t>操作和维修手册</w:t>
      </w:r>
    </w:p>
    <w:p>
      <w:pPr>
        <w:snapToGrid w:val="0"/>
        <w:spacing w:line="360" w:lineRule="auto"/>
        <w:ind w:firstLine="420"/>
        <w:rPr>
          <w:color w:val="auto"/>
          <w:szCs w:val="21"/>
          <w:highlight w:val="none"/>
        </w:rPr>
      </w:pPr>
      <w:r>
        <w:rPr>
          <w:color w:val="auto"/>
          <w:szCs w:val="21"/>
          <w:highlight w:val="none"/>
        </w:rPr>
        <w:t xml:space="preserve">5.5.3 </w:t>
      </w:r>
      <w:r>
        <w:rPr>
          <w:rFonts w:hint="eastAsia"/>
          <w:color w:val="auto"/>
          <w:szCs w:val="21"/>
          <w:highlight w:val="none"/>
        </w:rPr>
        <w:t>对最终操作和维修手册的约定：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8" w:name="_Toc54862337"/>
      <w:r>
        <w:rPr>
          <w:rFonts w:hint="eastAsia"/>
          <w:color w:val="auto"/>
          <w:szCs w:val="21"/>
          <w:highlight w:val="none"/>
        </w:rPr>
        <w:t>第</w:t>
      </w:r>
      <w:r>
        <w:rPr>
          <w:color w:val="auto"/>
          <w:szCs w:val="21"/>
          <w:highlight w:val="none"/>
        </w:rPr>
        <w:t>6条</w:t>
      </w:r>
      <w:r>
        <w:rPr>
          <w:rFonts w:hint="eastAsia"/>
          <w:color w:val="auto"/>
          <w:szCs w:val="21"/>
          <w:highlight w:val="none"/>
        </w:rPr>
        <w:t xml:space="preserve"> 材料、工程设备</w:t>
      </w:r>
      <w:bookmarkEnd w:id="188"/>
    </w:p>
    <w:p>
      <w:pPr>
        <w:snapToGrid w:val="0"/>
        <w:spacing w:line="360" w:lineRule="auto"/>
        <w:ind w:firstLine="420"/>
        <w:rPr>
          <w:color w:val="auto"/>
          <w:szCs w:val="21"/>
          <w:highlight w:val="none"/>
        </w:rPr>
      </w:pPr>
      <w:r>
        <w:rPr>
          <w:color w:val="auto"/>
          <w:szCs w:val="21"/>
          <w:highlight w:val="none"/>
        </w:rPr>
        <w:t xml:space="preserve">6.1 </w:t>
      </w:r>
      <w:r>
        <w:rPr>
          <w:rFonts w:hint="eastAsia"/>
          <w:color w:val="auto"/>
          <w:szCs w:val="21"/>
          <w:highlight w:val="none"/>
        </w:rPr>
        <w:t>实施方法</w:t>
      </w:r>
    </w:p>
    <w:p>
      <w:pPr>
        <w:snapToGrid w:val="0"/>
        <w:spacing w:line="360" w:lineRule="auto"/>
        <w:ind w:firstLine="420"/>
        <w:rPr>
          <w:color w:val="auto"/>
          <w:szCs w:val="21"/>
          <w:highlight w:val="none"/>
        </w:rPr>
      </w:pPr>
      <w:r>
        <w:rPr>
          <w:rFonts w:hint="eastAsia"/>
          <w:color w:val="auto"/>
          <w:szCs w:val="21"/>
          <w:highlight w:val="none"/>
        </w:rPr>
        <w:t>双方当事人约定的实施方法、设备、设施和材料：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 </w:t>
      </w:r>
      <w:r>
        <w:rPr>
          <w:rFonts w:hint="eastAsia"/>
          <w:color w:val="auto"/>
          <w:szCs w:val="21"/>
          <w:highlight w:val="none"/>
        </w:rPr>
        <w:t>材料和工程设备</w:t>
      </w:r>
    </w:p>
    <w:p>
      <w:pPr>
        <w:snapToGrid w:val="0"/>
        <w:spacing w:line="360" w:lineRule="auto"/>
        <w:ind w:firstLine="420"/>
        <w:rPr>
          <w:color w:val="auto"/>
          <w:szCs w:val="21"/>
          <w:highlight w:val="none"/>
        </w:rPr>
      </w:pPr>
      <w:r>
        <w:rPr>
          <w:color w:val="auto"/>
          <w:szCs w:val="21"/>
          <w:highlight w:val="none"/>
        </w:rPr>
        <w:t xml:space="preserve">6.2.1 </w:t>
      </w:r>
      <w:r>
        <w:rPr>
          <w:rFonts w:hint="eastAsia"/>
          <w:color w:val="auto"/>
          <w:szCs w:val="21"/>
          <w:highlight w:val="none"/>
        </w:rPr>
        <w:t>发包人提供的材料和工程设备</w:t>
      </w:r>
    </w:p>
    <w:p>
      <w:pPr>
        <w:snapToGrid w:val="0"/>
        <w:spacing w:line="360" w:lineRule="auto"/>
        <w:ind w:firstLine="420"/>
        <w:rPr>
          <w:color w:val="auto"/>
          <w:szCs w:val="21"/>
          <w:highlight w:val="none"/>
        </w:rPr>
      </w:pPr>
      <w:r>
        <w:rPr>
          <w:rFonts w:hint="eastAsia"/>
          <w:color w:val="auto"/>
          <w:szCs w:val="21"/>
          <w:highlight w:val="none"/>
        </w:rPr>
        <w:t>发包人提供的材料和工程设备验收后，由</w:t>
      </w:r>
      <w:r>
        <w:rPr>
          <w:color w:val="auto"/>
          <w:szCs w:val="21"/>
          <w:highlight w:val="none"/>
          <w:u w:val="single"/>
        </w:rPr>
        <w:t xml:space="preserve">           </w:t>
      </w:r>
      <w:r>
        <w:rPr>
          <w:rFonts w:hint="eastAsia"/>
          <w:color w:val="auto"/>
          <w:szCs w:val="21"/>
          <w:highlight w:val="none"/>
        </w:rPr>
        <w:t>负责接收、运输和保管。</w:t>
      </w:r>
    </w:p>
    <w:p>
      <w:pPr>
        <w:snapToGrid w:val="0"/>
        <w:spacing w:line="360" w:lineRule="auto"/>
        <w:ind w:firstLine="420"/>
        <w:rPr>
          <w:color w:val="auto"/>
          <w:szCs w:val="21"/>
          <w:highlight w:val="none"/>
        </w:rPr>
      </w:pPr>
      <w:r>
        <w:rPr>
          <w:color w:val="auto"/>
          <w:szCs w:val="21"/>
          <w:highlight w:val="none"/>
        </w:rPr>
        <w:t xml:space="preserve">6.2.2 </w:t>
      </w:r>
      <w:r>
        <w:rPr>
          <w:rFonts w:hint="eastAsia"/>
          <w:color w:val="auto"/>
          <w:szCs w:val="21"/>
          <w:highlight w:val="none"/>
        </w:rPr>
        <w:t>承包人提供的材料和工程设备</w:t>
      </w:r>
    </w:p>
    <w:p>
      <w:pPr>
        <w:snapToGrid w:val="0"/>
        <w:spacing w:line="360" w:lineRule="auto"/>
        <w:ind w:firstLine="420"/>
        <w:rPr>
          <w:color w:val="auto"/>
          <w:szCs w:val="21"/>
          <w:highlight w:val="none"/>
        </w:rPr>
      </w:pPr>
      <w:r>
        <w:rPr>
          <w:rFonts w:hint="eastAsia"/>
          <w:color w:val="auto"/>
          <w:szCs w:val="21"/>
          <w:highlight w:val="none"/>
        </w:rPr>
        <w:t>材料和工程设备的类别、估算数量：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竣工后试验的生产性材料的类别或（和）清单：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6.2.3 </w:t>
      </w:r>
      <w:r>
        <w:rPr>
          <w:rFonts w:hint="eastAsia"/>
          <w:color w:val="auto"/>
          <w:szCs w:val="21"/>
          <w:highlight w:val="none"/>
        </w:rPr>
        <w:t>材料和工程设备的保管</w:t>
      </w:r>
    </w:p>
    <w:p>
      <w:pPr>
        <w:snapToGrid w:val="0"/>
        <w:spacing w:line="360" w:lineRule="auto"/>
        <w:ind w:firstLine="420"/>
        <w:rPr>
          <w:color w:val="auto"/>
          <w:szCs w:val="21"/>
          <w:highlight w:val="none"/>
        </w:rPr>
      </w:pPr>
      <w:r>
        <w:rPr>
          <w:rFonts w:hint="eastAsia"/>
          <w:color w:val="auto"/>
          <w:szCs w:val="21"/>
          <w:highlight w:val="none"/>
        </w:rPr>
        <w:t>发包人供应的材料和工程设备的保管费用由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承包人提交保管、维护方案的时间：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发包人提供的库房、堆场、设施和设备：</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6.3 </w:t>
      </w:r>
      <w:r>
        <w:rPr>
          <w:rFonts w:hint="eastAsia"/>
          <w:color w:val="auto"/>
          <w:szCs w:val="21"/>
          <w:highlight w:val="none"/>
        </w:rPr>
        <w:t>样品</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.3.1 </w:t>
      </w:r>
      <w:r>
        <w:rPr>
          <w:rFonts w:hint="eastAsia"/>
          <w:color w:val="auto"/>
          <w:szCs w:val="21"/>
          <w:highlight w:val="none"/>
        </w:rPr>
        <w:t>样品的报送与封存</w:t>
      </w:r>
    </w:p>
    <w:p>
      <w:pPr>
        <w:snapToGrid w:val="0"/>
        <w:spacing w:line="360" w:lineRule="auto"/>
        <w:ind w:firstLine="420"/>
        <w:rPr>
          <w:color w:val="auto"/>
          <w:szCs w:val="21"/>
          <w:highlight w:val="none"/>
        </w:rPr>
      </w:pPr>
      <w:r>
        <w:rPr>
          <w:color w:val="auto"/>
          <w:szCs w:val="21"/>
          <w:highlight w:val="none"/>
        </w:rPr>
        <w:t>需要承包人报送样品的材料或工程设备</w:t>
      </w:r>
      <w:r>
        <w:rPr>
          <w:rFonts w:hint="eastAsia"/>
          <w:color w:val="auto"/>
          <w:szCs w:val="21"/>
          <w:highlight w:val="none"/>
        </w:rPr>
        <w:t>，样品种类、名称、规格、数量：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 </w:t>
      </w:r>
      <w:r>
        <w:rPr>
          <w:rFonts w:hint="eastAsia"/>
          <w:color w:val="auto"/>
          <w:szCs w:val="21"/>
          <w:highlight w:val="none"/>
        </w:rPr>
        <w:t>质量检查</w:t>
      </w:r>
    </w:p>
    <w:p>
      <w:pPr>
        <w:snapToGrid w:val="0"/>
        <w:spacing w:line="360" w:lineRule="auto"/>
        <w:ind w:firstLine="420"/>
        <w:rPr>
          <w:color w:val="auto"/>
          <w:szCs w:val="21"/>
          <w:highlight w:val="none"/>
        </w:rPr>
      </w:pPr>
      <w:r>
        <w:rPr>
          <w:color w:val="auto"/>
          <w:szCs w:val="21"/>
          <w:highlight w:val="none"/>
        </w:rPr>
        <w:t xml:space="preserve">6.4.1 </w:t>
      </w:r>
      <w:r>
        <w:rPr>
          <w:rFonts w:hint="eastAsia"/>
          <w:color w:val="auto"/>
          <w:szCs w:val="21"/>
          <w:highlight w:val="none"/>
        </w:rPr>
        <w:t>工程质量要求</w:t>
      </w:r>
    </w:p>
    <w:p>
      <w:pPr>
        <w:snapToGrid w:val="0"/>
        <w:spacing w:line="360" w:lineRule="auto"/>
        <w:ind w:firstLine="420"/>
        <w:rPr>
          <w:color w:val="auto"/>
          <w:szCs w:val="21"/>
          <w:highlight w:val="none"/>
        </w:rPr>
      </w:pPr>
      <w:r>
        <w:rPr>
          <w:rFonts w:hint="eastAsia"/>
          <w:color w:val="auto"/>
          <w:szCs w:val="21"/>
          <w:highlight w:val="none"/>
        </w:rPr>
        <w:t>工程质量的特殊标准或要求：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6.4.2 </w:t>
      </w:r>
      <w:r>
        <w:rPr>
          <w:rFonts w:hint="eastAsia"/>
          <w:color w:val="auto"/>
          <w:szCs w:val="21"/>
          <w:highlight w:val="none"/>
        </w:rPr>
        <w:t>质量检查</w:t>
      </w:r>
    </w:p>
    <w:p>
      <w:pPr>
        <w:snapToGrid w:val="0"/>
        <w:spacing w:line="360" w:lineRule="auto"/>
        <w:ind w:firstLine="420"/>
        <w:rPr>
          <w:color w:val="auto"/>
          <w:szCs w:val="21"/>
          <w:highlight w:val="none"/>
        </w:rPr>
      </w:pPr>
      <w:r>
        <w:rPr>
          <w:rFonts w:hint="eastAsia"/>
          <w:color w:val="auto"/>
          <w:szCs w:val="21"/>
          <w:highlight w:val="none"/>
        </w:rPr>
        <w:t>除通用合同条件已列明的质量检查的地点外，发包人有权进行质量检查的其他地点：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6.4.3 </w:t>
      </w:r>
      <w:r>
        <w:rPr>
          <w:rFonts w:hint="eastAsia"/>
          <w:color w:val="auto"/>
          <w:szCs w:val="21"/>
          <w:highlight w:val="none"/>
        </w:rPr>
        <w:t>隐蔽工程检查</w:t>
      </w:r>
    </w:p>
    <w:p>
      <w:pPr>
        <w:snapToGrid w:val="0"/>
        <w:spacing w:line="360" w:lineRule="auto"/>
        <w:ind w:firstLine="420"/>
        <w:rPr>
          <w:color w:val="auto"/>
          <w:szCs w:val="21"/>
          <w:highlight w:val="none"/>
        </w:rPr>
      </w:pPr>
      <w:r>
        <w:rPr>
          <w:rFonts w:hint="eastAsia"/>
          <w:color w:val="auto"/>
          <w:szCs w:val="21"/>
          <w:highlight w:val="none"/>
        </w:rPr>
        <w:t>关于隐蔽工程和中间验收的特别约定：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6.5 </w:t>
      </w:r>
      <w:r>
        <w:rPr>
          <w:rFonts w:hint="eastAsia"/>
          <w:color w:val="auto"/>
          <w:szCs w:val="21"/>
          <w:highlight w:val="none"/>
        </w:rPr>
        <w:t>由承包人试验和检验</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.5.1 </w:t>
      </w:r>
      <w:r>
        <w:rPr>
          <w:rFonts w:hint="eastAsia"/>
          <w:color w:val="auto"/>
          <w:szCs w:val="21"/>
          <w:highlight w:val="none"/>
        </w:rPr>
        <w:t>试验设备与试验人员</w:t>
      </w:r>
    </w:p>
    <w:p>
      <w:pPr>
        <w:snapToGrid w:val="0"/>
        <w:spacing w:line="360" w:lineRule="auto"/>
        <w:ind w:firstLine="420"/>
        <w:rPr>
          <w:color w:val="auto"/>
          <w:szCs w:val="21"/>
          <w:highlight w:val="none"/>
        </w:rPr>
      </w:pPr>
      <w:r>
        <w:rPr>
          <w:rFonts w:hint="eastAsia"/>
          <w:color w:val="auto"/>
          <w:szCs w:val="21"/>
          <w:highlight w:val="none"/>
        </w:rPr>
        <w:t>试验的内容、时间和地点：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试验所需要的试验设备、取样装置、试验场所和试验条件：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u w:val="single"/>
        </w:rPr>
      </w:pPr>
      <w:r>
        <w:rPr>
          <w:rFonts w:hint="eastAsia"/>
          <w:color w:val="auto"/>
          <w:szCs w:val="21"/>
          <w:highlight w:val="none"/>
        </w:rPr>
        <w:t>试验和检验费用的计价原则：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9" w:name="_Toc54862338"/>
      <w:r>
        <w:rPr>
          <w:rFonts w:hint="eastAsia"/>
          <w:color w:val="auto"/>
          <w:szCs w:val="21"/>
          <w:highlight w:val="none"/>
        </w:rPr>
        <w:t>第</w:t>
      </w:r>
      <w:r>
        <w:rPr>
          <w:color w:val="auto"/>
          <w:szCs w:val="21"/>
          <w:highlight w:val="none"/>
        </w:rPr>
        <w:t>7条</w:t>
      </w:r>
      <w:r>
        <w:rPr>
          <w:rFonts w:hint="eastAsia"/>
          <w:color w:val="auto"/>
          <w:szCs w:val="21"/>
          <w:highlight w:val="none"/>
        </w:rPr>
        <w:t xml:space="preserve"> 施工</w:t>
      </w:r>
      <w:bookmarkEnd w:id="189"/>
    </w:p>
    <w:p>
      <w:pPr>
        <w:snapToGrid w:val="0"/>
        <w:spacing w:line="360" w:lineRule="auto"/>
        <w:ind w:firstLine="420"/>
        <w:rPr>
          <w:color w:val="auto"/>
          <w:szCs w:val="21"/>
          <w:highlight w:val="none"/>
        </w:rPr>
      </w:pPr>
      <w:r>
        <w:rPr>
          <w:color w:val="auto"/>
          <w:szCs w:val="21"/>
          <w:highlight w:val="none"/>
        </w:rPr>
        <w:t xml:space="preserve">7.1 </w:t>
      </w:r>
      <w:r>
        <w:rPr>
          <w:rFonts w:hint="eastAsia"/>
          <w:color w:val="auto"/>
          <w:szCs w:val="21"/>
          <w:highlight w:val="none"/>
        </w:rPr>
        <w:t>交通运输</w:t>
      </w:r>
    </w:p>
    <w:p>
      <w:pPr>
        <w:snapToGrid w:val="0"/>
        <w:spacing w:line="360" w:lineRule="auto"/>
        <w:ind w:firstLine="420"/>
        <w:rPr>
          <w:color w:val="auto"/>
          <w:szCs w:val="21"/>
          <w:highlight w:val="none"/>
        </w:rPr>
      </w:pPr>
      <w:r>
        <w:rPr>
          <w:color w:val="auto"/>
          <w:szCs w:val="21"/>
          <w:highlight w:val="none"/>
        </w:rPr>
        <w:t xml:space="preserve">7.1.1 </w:t>
      </w:r>
      <w:r>
        <w:rPr>
          <w:rFonts w:hint="eastAsia"/>
          <w:color w:val="auto"/>
          <w:szCs w:val="21"/>
          <w:highlight w:val="none"/>
        </w:rPr>
        <w:t>出入现场的权利</w:t>
      </w:r>
    </w:p>
    <w:p>
      <w:pPr>
        <w:snapToGrid w:val="0"/>
        <w:spacing w:line="360" w:lineRule="auto"/>
        <w:ind w:firstLine="420"/>
        <w:rPr>
          <w:color w:val="auto"/>
          <w:szCs w:val="21"/>
          <w:highlight w:val="none"/>
        </w:rPr>
      </w:pPr>
      <w:r>
        <w:rPr>
          <w:rFonts w:hint="eastAsia"/>
          <w:color w:val="auto"/>
          <w:szCs w:val="21"/>
          <w:highlight w:val="none"/>
        </w:rPr>
        <w:t>关于出入现场的权利的约定：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7.1.2 </w:t>
      </w:r>
      <w:r>
        <w:rPr>
          <w:rFonts w:hint="eastAsia"/>
          <w:color w:val="auto"/>
          <w:szCs w:val="21"/>
          <w:highlight w:val="none"/>
        </w:rPr>
        <w:t>场外交通</w:t>
      </w:r>
    </w:p>
    <w:p>
      <w:pPr>
        <w:snapToGrid w:val="0"/>
        <w:spacing w:line="360" w:lineRule="auto"/>
        <w:ind w:firstLine="420"/>
        <w:rPr>
          <w:color w:val="auto"/>
          <w:szCs w:val="21"/>
          <w:highlight w:val="none"/>
        </w:rPr>
      </w:pPr>
      <w:r>
        <w:rPr>
          <w:rFonts w:hint="eastAsia"/>
          <w:color w:val="auto"/>
          <w:szCs w:val="21"/>
          <w:highlight w:val="none"/>
        </w:rPr>
        <w:t>关于场外交通的特别约定：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7.1.3 </w:t>
      </w:r>
      <w:r>
        <w:rPr>
          <w:rFonts w:hint="eastAsia"/>
          <w:color w:val="auto"/>
          <w:szCs w:val="21"/>
          <w:highlight w:val="none"/>
        </w:rPr>
        <w:t>场内交通</w:t>
      </w:r>
    </w:p>
    <w:p>
      <w:pPr>
        <w:snapToGrid w:val="0"/>
        <w:spacing w:line="360" w:lineRule="auto"/>
        <w:ind w:firstLine="420"/>
        <w:rPr>
          <w:color w:val="auto"/>
          <w:szCs w:val="21"/>
          <w:highlight w:val="none"/>
        </w:rPr>
      </w:pPr>
      <w:r>
        <w:rPr>
          <w:rFonts w:hint="eastAsia"/>
          <w:color w:val="auto"/>
          <w:szCs w:val="21"/>
          <w:highlight w:val="none"/>
        </w:rPr>
        <w:t>关于场内交通的特别约定：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关于场内交通与场外交通边界的约定：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7.1.4 </w:t>
      </w:r>
      <w:r>
        <w:rPr>
          <w:rFonts w:hint="eastAsia"/>
          <w:color w:val="auto"/>
          <w:szCs w:val="21"/>
          <w:highlight w:val="none"/>
        </w:rPr>
        <w:t>超大件和超重件的运输</w:t>
      </w:r>
    </w:p>
    <w:p>
      <w:pPr>
        <w:snapToGrid w:val="0"/>
        <w:spacing w:line="360" w:lineRule="auto"/>
        <w:ind w:firstLine="420"/>
        <w:rPr>
          <w:color w:val="auto"/>
          <w:szCs w:val="21"/>
          <w:highlight w:val="none"/>
        </w:rPr>
      </w:pPr>
      <w:r>
        <w:rPr>
          <w:rFonts w:hint="eastAsia"/>
          <w:color w:val="auto"/>
          <w:szCs w:val="21"/>
          <w:highlight w:val="none"/>
        </w:rPr>
        <w:t>运输超大件或超重件所需的道路和桥梁临时加固改造费用和其他有关费用由</w:t>
      </w:r>
      <w:r>
        <w:rPr>
          <w:color w:val="auto"/>
          <w:szCs w:val="21"/>
          <w:highlight w:val="none"/>
          <w:u w:val="single"/>
        </w:rPr>
        <w:t xml:space="preserve">            </w:t>
      </w:r>
      <w:r>
        <w:rPr>
          <w:color w:val="auto"/>
          <w:szCs w:val="21"/>
          <w:highlight w:val="none"/>
        </w:rPr>
        <w:t>承担。</w:t>
      </w:r>
    </w:p>
    <w:p>
      <w:pPr>
        <w:snapToGrid w:val="0"/>
        <w:spacing w:line="360" w:lineRule="auto"/>
        <w:ind w:firstLine="420"/>
        <w:rPr>
          <w:color w:val="auto"/>
          <w:szCs w:val="21"/>
          <w:highlight w:val="none"/>
        </w:rPr>
      </w:pPr>
      <w:r>
        <w:rPr>
          <w:color w:val="auto"/>
          <w:szCs w:val="21"/>
          <w:highlight w:val="none"/>
        </w:rPr>
        <w:t xml:space="preserve">7.2 </w:t>
      </w:r>
      <w:r>
        <w:rPr>
          <w:rFonts w:hint="eastAsia"/>
          <w:color w:val="auto"/>
          <w:szCs w:val="21"/>
          <w:highlight w:val="none"/>
        </w:rPr>
        <w:t>施工设备和临时设施</w:t>
      </w:r>
    </w:p>
    <w:p>
      <w:pPr>
        <w:snapToGrid w:val="0"/>
        <w:spacing w:line="360" w:lineRule="auto"/>
        <w:ind w:firstLine="420"/>
        <w:rPr>
          <w:color w:val="auto"/>
          <w:szCs w:val="21"/>
          <w:highlight w:val="none"/>
        </w:rPr>
      </w:pPr>
      <w:r>
        <w:rPr>
          <w:color w:val="auto"/>
          <w:szCs w:val="21"/>
          <w:highlight w:val="none"/>
        </w:rPr>
        <w:t xml:space="preserve">7.2.1 </w:t>
      </w:r>
      <w:r>
        <w:rPr>
          <w:rFonts w:hint="eastAsia"/>
          <w:color w:val="auto"/>
          <w:szCs w:val="21"/>
          <w:highlight w:val="none"/>
        </w:rPr>
        <w:t>承包人提供的施工设备和临时设施</w:t>
      </w:r>
    </w:p>
    <w:p>
      <w:pPr>
        <w:snapToGrid w:val="0"/>
        <w:spacing w:line="360" w:lineRule="auto"/>
        <w:ind w:firstLine="420"/>
        <w:rPr>
          <w:color w:val="auto"/>
          <w:szCs w:val="21"/>
          <w:highlight w:val="none"/>
        </w:rPr>
      </w:pPr>
      <w:r>
        <w:rPr>
          <w:rFonts w:hint="eastAsia"/>
          <w:color w:val="auto"/>
          <w:szCs w:val="21"/>
          <w:highlight w:val="none"/>
        </w:rPr>
        <w:t>临时设施的费用和临时占地手续和费用承担的特别约定：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7.2.2 </w:t>
      </w:r>
      <w:r>
        <w:rPr>
          <w:rFonts w:hint="eastAsia"/>
          <w:color w:val="auto"/>
          <w:szCs w:val="21"/>
          <w:highlight w:val="none"/>
        </w:rPr>
        <w:t>发包人提供的施工设备和临时设施</w:t>
      </w:r>
    </w:p>
    <w:p>
      <w:pPr>
        <w:snapToGrid w:val="0"/>
        <w:spacing w:line="360" w:lineRule="auto"/>
        <w:ind w:firstLine="420"/>
        <w:rPr>
          <w:color w:val="auto"/>
          <w:szCs w:val="21"/>
          <w:highlight w:val="none"/>
        </w:rPr>
      </w:pPr>
      <w:r>
        <w:rPr>
          <w:rFonts w:hint="eastAsia"/>
          <w:color w:val="auto"/>
          <w:szCs w:val="21"/>
          <w:highlight w:val="none"/>
        </w:rPr>
        <w:t>发包人提供的施工设备或临时设施范围：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7.3 </w:t>
      </w:r>
      <w:r>
        <w:rPr>
          <w:rFonts w:hint="eastAsia"/>
          <w:color w:val="auto"/>
          <w:szCs w:val="21"/>
          <w:highlight w:val="none"/>
        </w:rPr>
        <w:t>现场合作</w:t>
      </w:r>
    </w:p>
    <w:p>
      <w:pPr>
        <w:snapToGrid w:val="0"/>
        <w:spacing w:line="360" w:lineRule="auto"/>
        <w:ind w:firstLine="420"/>
        <w:rPr>
          <w:color w:val="auto"/>
          <w:szCs w:val="21"/>
          <w:highlight w:val="none"/>
        </w:rPr>
      </w:pPr>
      <w:r>
        <w:rPr>
          <w:rFonts w:hint="eastAsia"/>
          <w:color w:val="auto"/>
          <w:szCs w:val="21"/>
          <w:highlight w:val="none"/>
        </w:rPr>
        <w:t>关于现场合作费用的特别约定：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7.4 </w:t>
      </w:r>
      <w:r>
        <w:rPr>
          <w:rFonts w:hint="eastAsia"/>
          <w:color w:val="auto"/>
          <w:szCs w:val="21"/>
          <w:highlight w:val="none"/>
        </w:rPr>
        <w:t>测量放线</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.4.1 </w:t>
      </w:r>
      <w:r>
        <w:rPr>
          <w:rFonts w:hint="eastAsia"/>
          <w:color w:val="auto"/>
          <w:szCs w:val="21"/>
          <w:highlight w:val="none"/>
        </w:rPr>
        <w:t>关于测量放线的特别约定的技术规范：</w:t>
      </w:r>
      <w:r>
        <w:rPr>
          <w:color w:val="auto"/>
          <w:szCs w:val="21"/>
          <w:highlight w:val="none"/>
          <w:u w:val="single"/>
        </w:rPr>
        <w:t xml:space="preserve">                </w:t>
      </w:r>
      <w:r>
        <w:rPr>
          <w:rFonts w:hint="eastAsia"/>
          <w:color w:val="auto"/>
          <w:szCs w:val="21"/>
          <w:highlight w:val="none"/>
        </w:rPr>
        <w:t>。施工控制网资料的告知期限：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7.5 </w:t>
      </w:r>
      <w:r>
        <w:rPr>
          <w:rFonts w:hint="eastAsia"/>
          <w:color w:val="auto"/>
          <w:szCs w:val="21"/>
          <w:highlight w:val="none"/>
        </w:rPr>
        <w:t>现场劳动用工</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.5.2 </w:t>
      </w:r>
      <w:r>
        <w:rPr>
          <w:rFonts w:hint="eastAsia"/>
          <w:color w:val="auto"/>
          <w:szCs w:val="21"/>
          <w:highlight w:val="none"/>
        </w:rPr>
        <w:t>合同当事人对建筑工人工资清偿事宜和违约责任的约定：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 </w:t>
      </w:r>
      <w:r>
        <w:rPr>
          <w:rFonts w:hint="eastAsia"/>
          <w:color w:val="auto"/>
          <w:szCs w:val="21"/>
          <w:highlight w:val="none"/>
        </w:rPr>
        <w:t>安全文明施工</w:t>
      </w:r>
    </w:p>
    <w:p>
      <w:pPr>
        <w:snapToGrid w:val="0"/>
        <w:spacing w:line="360" w:lineRule="auto"/>
        <w:ind w:firstLine="420"/>
        <w:rPr>
          <w:color w:val="auto"/>
          <w:szCs w:val="21"/>
          <w:highlight w:val="none"/>
        </w:rPr>
      </w:pPr>
      <w:r>
        <w:rPr>
          <w:color w:val="auto"/>
          <w:szCs w:val="21"/>
          <w:highlight w:val="none"/>
        </w:rPr>
        <w:t xml:space="preserve">7.6.1 </w:t>
      </w:r>
      <w:r>
        <w:rPr>
          <w:rFonts w:hint="eastAsia"/>
          <w:color w:val="auto"/>
          <w:szCs w:val="21"/>
          <w:highlight w:val="none"/>
        </w:rPr>
        <w:t>安全生产要求</w:t>
      </w:r>
    </w:p>
    <w:p>
      <w:pPr>
        <w:snapToGrid w:val="0"/>
        <w:spacing w:line="360" w:lineRule="auto"/>
        <w:ind w:left="124" w:leftChars="59" w:firstLine="420"/>
        <w:rPr>
          <w:color w:val="auto"/>
          <w:szCs w:val="21"/>
          <w:highlight w:val="none"/>
        </w:rPr>
      </w:pPr>
      <w:r>
        <w:rPr>
          <w:rFonts w:hint="eastAsia"/>
          <w:color w:val="auto"/>
          <w:szCs w:val="21"/>
          <w:highlight w:val="none"/>
        </w:rPr>
        <w:t>合同当事人对安全施工的要求：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7.6.3 </w:t>
      </w:r>
      <w:r>
        <w:rPr>
          <w:rFonts w:hint="eastAsia"/>
          <w:color w:val="auto"/>
          <w:szCs w:val="21"/>
          <w:highlight w:val="none"/>
        </w:rPr>
        <w:t>文明施工</w:t>
      </w:r>
    </w:p>
    <w:p>
      <w:pPr>
        <w:snapToGrid w:val="0"/>
        <w:spacing w:line="360" w:lineRule="auto"/>
        <w:ind w:firstLine="420"/>
        <w:rPr>
          <w:color w:val="auto"/>
          <w:szCs w:val="21"/>
          <w:highlight w:val="none"/>
        </w:rPr>
      </w:pPr>
      <w:r>
        <w:rPr>
          <w:rFonts w:hint="eastAsia"/>
          <w:color w:val="auto"/>
          <w:szCs w:val="21"/>
          <w:highlight w:val="none"/>
        </w:rPr>
        <w:t>合同当事人对文明施工的要求：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7.9 </w:t>
      </w:r>
      <w:r>
        <w:rPr>
          <w:rFonts w:hint="eastAsia"/>
          <w:color w:val="auto"/>
          <w:szCs w:val="21"/>
          <w:highlight w:val="none"/>
        </w:rPr>
        <w:t>临时性公用设施</w:t>
      </w:r>
    </w:p>
    <w:p>
      <w:pPr>
        <w:snapToGrid w:val="0"/>
        <w:spacing w:line="360" w:lineRule="auto"/>
        <w:ind w:firstLine="420"/>
        <w:rPr>
          <w:color w:val="auto"/>
          <w:szCs w:val="21"/>
          <w:highlight w:val="none"/>
        </w:rPr>
      </w:pPr>
      <w:r>
        <w:rPr>
          <w:rFonts w:hint="eastAsia"/>
          <w:color w:val="auto"/>
          <w:szCs w:val="21"/>
          <w:highlight w:val="none"/>
        </w:rPr>
        <w:t>关于临时性公用设施的特别约定：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7.10 </w:t>
      </w:r>
      <w:r>
        <w:rPr>
          <w:rFonts w:hint="eastAsia"/>
          <w:color w:val="auto"/>
          <w:szCs w:val="21"/>
          <w:highlight w:val="none"/>
        </w:rPr>
        <w:t>现场安保</w:t>
      </w:r>
    </w:p>
    <w:p>
      <w:pPr>
        <w:snapToGrid w:val="0"/>
        <w:spacing w:line="360" w:lineRule="auto"/>
        <w:ind w:firstLine="420"/>
        <w:rPr>
          <w:color w:val="auto"/>
          <w:szCs w:val="21"/>
          <w:highlight w:val="none"/>
        </w:rPr>
      </w:pPr>
      <w:r>
        <w:rPr>
          <w:rFonts w:hint="eastAsia"/>
          <w:color w:val="auto"/>
          <w:szCs w:val="21"/>
          <w:highlight w:val="none"/>
        </w:rPr>
        <w:t>承包人现场安保义务的特别约定：</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90" w:name="_Toc54862339"/>
      <w:r>
        <w:rPr>
          <w:rFonts w:hint="eastAsia"/>
          <w:color w:val="auto"/>
          <w:szCs w:val="21"/>
          <w:highlight w:val="none"/>
        </w:rPr>
        <w:t>第</w:t>
      </w:r>
      <w:r>
        <w:rPr>
          <w:color w:val="auto"/>
          <w:szCs w:val="21"/>
          <w:highlight w:val="none"/>
        </w:rPr>
        <w:t>8条</w:t>
      </w:r>
      <w:r>
        <w:rPr>
          <w:rFonts w:hint="eastAsia"/>
          <w:color w:val="auto"/>
          <w:szCs w:val="21"/>
          <w:highlight w:val="none"/>
        </w:rPr>
        <w:t xml:space="preserve"> 工期和进度</w:t>
      </w:r>
      <w:bookmarkEnd w:id="190"/>
    </w:p>
    <w:p>
      <w:pPr>
        <w:snapToGrid w:val="0"/>
        <w:spacing w:line="360" w:lineRule="auto"/>
        <w:ind w:firstLine="420"/>
        <w:rPr>
          <w:color w:val="auto"/>
          <w:szCs w:val="21"/>
          <w:highlight w:val="none"/>
        </w:rPr>
      </w:pPr>
      <w:r>
        <w:rPr>
          <w:color w:val="auto"/>
          <w:szCs w:val="21"/>
          <w:highlight w:val="none"/>
        </w:rPr>
        <w:t xml:space="preserve">8.1 </w:t>
      </w:r>
      <w:r>
        <w:rPr>
          <w:rFonts w:hint="eastAsia"/>
          <w:color w:val="auto"/>
          <w:szCs w:val="21"/>
          <w:highlight w:val="none"/>
        </w:rPr>
        <w:t>开始工作</w:t>
      </w:r>
    </w:p>
    <w:p>
      <w:pPr>
        <w:snapToGrid w:val="0"/>
        <w:spacing w:line="360" w:lineRule="auto"/>
        <w:ind w:firstLine="420"/>
        <w:rPr>
          <w:color w:val="auto"/>
          <w:szCs w:val="21"/>
          <w:highlight w:val="none"/>
        </w:rPr>
      </w:pPr>
      <w:r>
        <w:rPr>
          <w:color w:val="auto"/>
          <w:szCs w:val="21"/>
          <w:highlight w:val="none"/>
        </w:rPr>
        <w:t xml:space="preserve">8.1.1 </w:t>
      </w:r>
      <w:r>
        <w:rPr>
          <w:rFonts w:hint="eastAsia"/>
          <w:color w:val="auto"/>
          <w:szCs w:val="21"/>
          <w:highlight w:val="none"/>
        </w:rPr>
        <w:t>开始准备工作：</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8.1.2 </w:t>
      </w:r>
      <w:r>
        <w:rPr>
          <w:rFonts w:hint="eastAsia"/>
          <w:color w:val="auto"/>
          <w:szCs w:val="21"/>
          <w:highlight w:val="none"/>
        </w:rPr>
        <w:t>发包人可在计划开始工作之日起</w:t>
      </w:r>
      <w:r>
        <w:rPr>
          <w:color w:val="auto"/>
          <w:szCs w:val="21"/>
          <w:highlight w:val="none"/>
        </w:rPr>
        <w:t>84</w:t>
      </w:r>
      <w:r>
        <w:rPr>
          <w:rFonts w:hint="eastAsia"/>
          <w:color w:val="auto"/>
          <w:szCs w:val="21"/>
          <w:highlight w:val="none"/>
        </w:rPr>
        <w:t>日后发出开始工作通知的特殊情形：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8.2 </w:t>
      </w:r>
      <w:r>
        <w:rPr>
          <w:rFonts w:hint="eastAsia"/>
          <w:color w:val="auto"/>
          <w:szCs w:val="21"/>
          <w:highlight w:val="none"/>
        </w:rPr>
        <w:t>竣工日期</w:t>
      </w:r>
    </w:p>
    <w:p>
      <w:pPr>
        <w:snapToGrid w:val="0"/>
        <w:spacing w:line="360" w:lineRule="auto"/>
        <w:ind w:firstLine="420"/>
        <w:rPr>
          <w:color w:val="auto"/>
          <w:szCs w:val="21"/>
          <w:highlight w:val="none"/>
        </w:rPr>
      </w:pPr>
      <w:r>
        <w:rPr>
          <w:rFonts w:hint="eastAsia"/>
          <w:color w:val="auto"/>
          <w:szCs w:val="21"/>
          <w:highlight w:val="none"/>
        </w:rPr>
        <w:t>竣工日期的约定：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 </w:t>
      </w:r>
      <w:r>
        <w:rPr>
          <w:rFonts w:hint="eastAsia"/>
          <w:color w:val="auto"/>
          <w:szCs w:val="21"/>
          <w:highlight w:val="none"/>
        </w:rPr>
        <w:t>项目实施计划</w:t>
      </w:r>
    </w:p>
    <w:p>
      <w:pPr>
        <w:snapToGrid w:val="0"/>
        <w:spacing w:line="360" w:lineRule="auto"/>
        <w:ind w:firstLine="420"/>
        <w:rPr>
          <w:color w:val="auto"/>
          <w:szCs w:val="21"/>
          <w:highlight w:val="none"/>
        </w:rPr>
      </w:pPr>
      <w:r>
        <w:rPr>
          <w:color w:val="auto"/>
          <w:szCs w:val="21"/>
          <w:highlight w:val="none"/>
        </w:rPr>
        <w:t xml:space="preserve">8.3.1 </w:t>
      </w:r>
      <w:r>
        <w:rPr>
          <w:rFonts w:hint="eastAsia"/>
          <w:color w:val="auto"/>
          <w:szCs w:val="21"/>
          <w:highlight w:val="none"/>
        </w:rPr>
        <w:t>项目实施计划的内容</w:t>
      </w:r>
    </w:p>
    <w:p>
      <w:pPr>
        <w:snapToGrid w:val="0"/>
        <w:spacing w:line="360" w:lineRule="auto"/>
        <w:ind w:firstLine="420"/>
        <w:rPr>
          <w:color w:val="auto"/>
          <w:szCs w:val="21"/>
          <w:highlight w:val="none"/>
        </w:rPr>
      </w:pPr>
      <w:r>
        <w:rPr>
          <w:rFonts w:hint="eastAsia"/>
          <w:color w:val="auto"/>
          <w:szCs w:val="21"/>
          <w:highlight w:val="none"/>
        </w:rPr>
        <w:t>项目实施计划的内容：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8.3.2 </w:t>
      </w:r>
      <w:r>
        <w:rPr>
          <w:rFonts w:hint="eastAsia"/>
          <w:color w:val="auto"/>
          <w:szCs w:val="21"/>
          <w:highlight w:val="none"/>
        </w:rPr>
        <w:t>项目实施计划的提交和修改</w:t>
      </w:r>
    </w:p>
    <w:p>
      <w:pPr>
        <w:snapToGrid w:val="0"/>
        <w:spacing w:line="360" w:lineRule="auto"/>
        <w:ind w:firstLine="420"/>
        <w:rPr>
          <w:color w:val="auto"/>
          <w:szCs w:val="21"/>
          <w:highlight w:val="none"/>
        </w:rPr>
      </w:pPr>
      <w:r>
        <w:rPr>
          <w:rFonts w:hint="eastAsia"/>
          <w:color w:val="auto"/>
          <w:szCs w:val="21"/>
          <w:highlight w:val="none"/>
        </w:rPr>
        <w:t>项目实施计划的提交及修改期限：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 </w:t>
      </w:r>
      <w:r>
        <w:rPr>
          <w:rFonts w:hint="eastAsia"/>
          <w:color w:val="auto"/>
          <w:szCs w:val="21"/>
          <w:highlight w:val="none"/>
        </w:rPr>
        <w:t>项目进度计划</w:t>
      </w:r>
    </w:p>
    <w:p>
      <w:pPr>
        <w:snapToGrid w:val="0"/>
        <w:spacing w:line="360" w:lineRule="auto"/>
        <w:ind w:firstLine="420"/>
        <w:rPr>
          <w:color w:val="auto"/>
          <w:szCs w:val="21"/>
          <w:highlight w:val="none"/>
        </w:rPr>
      </w:pPr>
      <w:r>
        <w:rPr>
          <w:color w:val="auto"/>
          <w:szCs w:val="21"/>
          <w:highlight w:val="none"/>
        </w:rPr>
        <w:t xml:space="preserve">8.4.1 </w:t>
      </w:r>
      <w:r>
        <w:rPr>
          <w:rFonts w:hint="eastAsia"/>
          <w:color w:val="auto"/>
          <w:szCs w:val="21"/>
          <w:highlight w:val="none"/>
        </w:rPr>
        <w:t>工程师在收到进度计划后确认或提出修改意见的期限：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8.4.2 </w:t>
      </w:r>
      <w:r>
        <w:rPr>
          <w:rFonts w:hint="eastAsia"/>
          <w:color w:val="auto"/>
          <w:szCs w:val="21"/>
          <w:highlight w:val="none"/>
        </w:rPr>
        <w:t>进度计划的具体要求：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关键路径及关键路径变化的确定原则：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承包人提交项目进度计划的份数和时间：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8.4.3 </w:t>
      </w:r>
      <w:r>
        <w:rPr>
          <w:rFonts w:hint="eastAsia"/>
          <w:color w:val="auto"/>
          <w:szCs w:val="21"/>
          <w:highlight w:val="none"/>
        </w:rPr>
        <w:t>进度计划的修订</w:t>
      </w:r>
    </w:p>
    <w:p>
      <w:pPr>
        <w:snapToGrid w:val="0"/>
        <w:spacing w:line="360" w:lineRule="auto"/>
        <w:ind w:firstLine="420"/>
        <w:rPr>
          <w:color w:val="auto"/>
          <w:szCs w:val="21"/>
          <w:highlight w:val="none"/>
        </w:rPr>
      </w:pPr>
      <w:r>
        <w:rPr>
          <w:rFonts w:hint="eastAsia"/>
          <w:color w:val="auto"/>
          <w:szCs w:val="21"/>
          <w:highlight w:val="none"/>
        </w:rPr>
        <w:t>承包人提交修订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发包人批复修订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承包人答复发包人提出修订合同计划的期限：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8.5 </w:t>
      </w:r>
      <w:r>
        <w:rPr>
          <w:rFonts w:hint="eastAsia"/>
          <w:color w:val="auto"/>
          <w:szCs w:val="21"/>
          <w:highlight w:val="none"/>
        </w:rPr>
        <w:t>进度报告</w:t>
      </w:r>
    </w:p>
    <w:p>
      <w:pPr>
        <w:snapToGrid w:val="0"/>
        <w:spacing w:line="360" w:lineRule="auto"/>
        <w:ind w:firstLine="420"/>
        <w:rPr>
          <w:color w:val="auto"/>
          <w:szCs w:val="21"/>
          <w:highlight w:val="none"/>
        </w:rPr>
      </w:pPr>
      <w:r>
        <w:rPr>
          <w:rFonts w:hint="eastAsia"/>
          <w:color w:val="auto"/>
          <w:szCs w:val="21"/>
          <w:highlight w:val="none"/>
        </w:rPr>
        <w:t>进度报告的具体要求：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 </w:t>
      </w:r>
      <w:r>
        <w:rPr>
          <w:rFonts w:hint="eastAsia"/>
          <w:color w:val="auto"/>
          <w:szCs w:val="21"/>
          <w:highlight w:val="none"/>
        </w:rPr>
        <w:t>工期延误</w:t>
      </w:r>
    </w:p>
    <w:p>
      <w:pPr>
        <w:snapToGrid w:val="0"/>
        <w:spacing w:line="360" w:lineRule="auto"/>
        <w:ind w:firstLine="420"/>
        <w:rPr>
          <w:color w:val="auto"/>
          <w:szCs w:val="21"/>
          <w:highlight w:val="none"/>
        </w:rPr>
      </w:pPr>
      <w:r>
        <w:rPr>
          <w:color w:val="auto"/>
          <w:szCs w:val="21"/>
          <w:highlight w:val="none"/>
        </w:rPr>
        <w:t xml:space="preserve">8.7.2 </w:t>
      </w:r>
      <w:r>
        <w:rPr>
          <w:rFonts w:hint="eastAsia"/>
          <w:color w:val="auto"/>
          <w:szCs w:val="21"/>
          <w:highlight w:val="none"/>
        </w:rPr>
        <w:t>因承包人原因导致工期延误</w:t>
      </w:r>
    </w:p>
    <w:p>
      <w:pPr>
        <w:snapToGrid w:val="0"/>
        <w:spacing w:line="360" w:lineRule="auto"/>
        <w:ind w:firstLine="420"/>
        <w:rPr>
          <w:color w:val="auto"/>
          <w:szCs w:val="21"/>
          <w:highlight w:val="none"/>
        </w:rPr>
      </w:pPr>
      <w:r>
        <w:rPr>
          <w:rFonts w:hint="eastAsia"/>
          <w:color w:val="auto"/>
          <w:szCs w:val="21"/>
          <w:highlight w:val="none"/>
        </w:rPr>
        <w:t>因承包人原因使竣工日期延误，每延误1日的误期赔偿金额为合同协议书的合同价格的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、累计最高赔偿金额为合同协议书的合同价格的：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8.7.3 </w:t>
      </w:r>
      <w:r>
        <w:rPr>
          <w:rFonts w:hint="eastAsia"/>
          <w:color w:val="auto"/>
          <w:szCs w:val="21"/>
          <w:highlight w:val="none"/>
        </w:rPr>
        <w:t>行政审批迟延</w:t>
      </w:r>
    </w:p>
    <w:p>
      <w:pPr>
        <w:snapToGrid w:val="0"/>
        <w:spacing w:line="360" w:lineRule="auto"/>
        <w:ind w:firstLine="420"/>
        <w:rPr>
          <w:color w:val="auto"/>
          <w:szCs w:val="21"/>
          <w:highlight w:val="none"/>
        </w:rPr>
      </w:pPr>
      <w:r>
        <w:rPr>
          <w:rFonts w:hint="eastAsia"/>
          <w:color w:val="auto"/>
          <w:szCs w:val="21"/>
          <w:highlight w:val="none"/>
        </w:rPr>
        <w:t>行政审批报送的职责分工：</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8.7.4 </w:t>
      </w:r>
      <w:r>
        <w:rPr>
          <w:rFonts w:hint="eastAsia"/>
          <w:color w:val="auto"/>
          <w:szCs w:val="21"/>
          <w:highlight w:val="none"/>
        </w:rPr>
        <w:t>异常恶劣的气候条件</w:t>
      </w:r>
    </w:p>
    <w:p>
      <w:pPr>
        <w:snapToGrid w:val="0"/>
        <w:spacing w:line="360" w:lineRule="auto"/>
        <w:ind w:firstLine="420"/>
        <w:rPr>
          <w:color w:val="auto"/>
          <w:szCs w:val="21"/>
          <w:highlight w:val="none"/>
        </w:rPr>
      </w:pPr>
      <w:r>
        <w:rPr>
          <w:rFonts w:hint="eastAsia"/>
          <w:color w:val="auto"/>
          <w:szCs w:val="21"/>
          <w:highlight w:val="none"/>
        </w:rPr>
        <w:t>双方约定视为异常恶劣的气候条件的情形：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8.8 </w:t>
      </w:r>
      <w:r>
        <w:rPr>
          <w:rFonts w:hint="eastAsia"/>
          <w:color w:val="auto"/>
          <w:szCs w:val="21"/>
          <w:highlight w:val="none"/>
        </w:rPr>
        <w:t>工期提前</w:t>
      </w:r>
    </w:p>
    <w:p>
      <w:pPr>
        <w:snapToGrid w:val="0"/>
        <w:spacing w:line="360" w:lineRule="auto"/>
        <w:ind w:firstLine="420"/>
        <w:rPr>
          <w:color w:val="auto"/>
          <w:szCs w:val="21"/>
          <w:highlight w:val="none"/>
        </w:rPr>
      </w:pPr>
      <w:r>
        <w:rPr>
          <w:color w:val="auto"/>
          <w:szCs w:val="21"/>
          <w:highlight w:val="none"/>
        </w:rPr>
        <w:t xml:space="preserve">8.8.2 </w:t>
      </w:r>
      <w:r>
        <w:rPr>
          <w:rFonts w:hint="eastAsia"/>
          <w:color w:val="auto"/>
          <w:szCs w:val="21"/>
          <w:highlight w:val="none"/>
        </w:rPr>
        <w:t>承包人提前竣工的奖励：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1" w:name="_Toc54862340"/>
      <w:r>
        <w:rPr>
          <w:rFonts w:hint="eastAsia"/>
          <w:color w:val="auto"/>
          <w:szCs w:val="21"/>
          <w:highlight w:val="none"/>
        </w:rPr>
        <w:t>第</w:t>
      </w:r>
      <w:r>
        <w:rPr>
          <w:color w:val="auto"/>
          <w:szCs w:val="21"/>
          <w:highlight w:val="none"/>
        </w:rPr>
        <w:t>9条</w:t>
      </w:r>
      <w:r>
        <w:rPr>
          <w:rFonts w:hint="eastAsia"/>
          <w:color w:val="auto"/>
          <w:szCs w:val="21"/>
          <w:highlight w:val="none"/>
        </w:rPr>
        <w:t xml:space="preserve"> 竣工试验</w:t>
      </w:r>
      <w:bookmarkEnd w:id="191"/>
    </w:p>
    <w:p>
      <w:pPr>
        <w:snapToGrid w:val="0"/>
        <w:spacing w:line="360" w:lineRule="auto"/>
        <w:ind w:firstLine="420"/>
        <w:rPr>
          <w:color w:val="auto"/>
          <w:szCs w:val="21"/>
          <w:highlight w:val="none"/>
        </w:rPr>
      </w:pPr>
      <w:r>
        <w:rPr>
          <w:color w:val="auto"/>
          <w:szCs w:val="21"/>
          <w:highlight w:val="none"/>
        </w:rPr>
        <w:t xml:space="preserve">9.1 </w:t>
      </w:r>
      <w:r>
        <w:rPr>
          <w:rFonts w:hint="eastAsia"/>
          <w:color w:val="auto"/>
          <w:szCs w:val="21"/>
          <w:highlight w:val="none"/>
        </w:rPr>
        <w:t>竣工试验的义务</w:t>
      </w:r>
    </w:p>
    <w:p>
      <w:pPr>
        <w:snapToGrid w:val="0"/>
        <w:spacing w:line="360" w:lineRule="auto"/>
        <w:ind w:firstLine="420"/>
        <w:rPr>
          <w:color w:val="auto"/>
          <w:szCs w:val="21"/>
          <w:highlight w:val="none"/>
        </w:rPr>
      </w:pPr>
      <w:r>
        <w:rPr>
          <w:color w:val="auto"/>
          <w:szCs w:val="21"/>
          <w:highlight w:val="none"/>
        </w:rPr>
        <w:t xml:space="preserve">9.1.3 </w:t>
      </w:r>
      <w:r>
        <w:rPr>
          <w:rFonts w:hint="eastAsia"/>
          <w:color w:val="auto"/>
          <w:szCs w:val="21"/>
          <w:highlight w:val="none"/>
        </w:rPr>
        <w:t>竣工试验的阶段、内容和顺序：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竣工试验的操作要求：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2" w:name="_Toc4784272"/>
      <w:bookmarkEnd w:id="192"/>
      <w:bookmarkStart w:id="193" w:name="_Toc4784273"/>
      <w:bookmarkEnd w:id="193"/>
      <w:bookmarkStart w:id="194" w:name="_Toc54862341"/>
      <w:r>
        <w:rPr>
          <w:rFonts w:hint="eastAsia"/>
          <w:color w:val="auto"/>
          <w:szCs w:val="21"/>
          <w:highlight w:val="none"/>
        </w:rPr>
        <w:t>第</w:t>
      </w:r>
      <w:r>
        <w:rPr>
          <w:color w:val="auto"/>
          <w:szCs w:val="21"/>
          <w:highlight w:val="none"/>
        </w:rPr>
        <w:t>10条</w:t>
      </w:r>
      <w:r>
        <w:rPr>
          <w:rFonts w:hint="eastAsia"/>
          <w:color w:val="auto"/>
          <w:szCs w:val="21"/>
          <w:highlight w:val="none"/>
        </w:rPr>
        <w:t xml:space="preserve"> 验收和工程接收</w:t>
      </w:r>
      <w:bookmarkEnd w:id="194"/>
    </w:p>
    <w:p>
      <w:pPr>
        <w:snapToGrid w:val="0"/>
        <w:spacing w:line="360" w:lineRule="auto"/>
        <w:ind w:firstLine="420"/>
        <w:rPr>
          <w:color w:val="auto"/>
          <w:szCs w:val="21"/>
          <w:highlight w:val="none"/>
        </w:rPr>
      </w:pPr>
      <w:r>
        <w:rPr>
          <w:color w:val="auto"/>
          <w:szCs w:val="21"/>
          <w:highlight w:val="none"/>
        </w:rPr>
        <w:t xml:space="preserve">10.1 </w:t>
      </w:r>
      <w:r>
        <w:rPr>
          <w:rFonts w:hint="eastAsia"/>
          <w:color w:val="auto"/>
          <w:szCs w:val="21"/>
          <w:highlight w:val="none"/>
        </w:rPr>
        <w:t>竣工验收</w:t>
      </w:r>
    </w:p>
    <w:p>
      <w:pPr>
        <w:snapToGrid w:val="0"/>
        <w:spacing w:line="360" w:lineRule="auto"/>
        <w:ind w:firstLine="420"/>
        <w:rPr>
          <w:color w:val="auto"/>
          <w:szCs w:val="21"/>
          <w:highlight w:val="none"/>
        </w:rPr>
      </w:pPr>
      <w:r>
        <w:rPr>
          <w:color w:val="auto"/>
          <w:szCs w:val="21"/>
          <w:highlight w:val="none"/>
        </w:rPr>
        <w:t xml:space="preserve">10.1.2 </w:t>
      </w:r>
      <w:r>
        <w:rPr>
          <w:rFonts w:hint="eastAsia"/>
          <w:color w:val="auto"/>
          <w:szCs w:val="21"/>
          <w:highlight w:val="none"/>
        </w:rPr>
        <w:t>关于竣工验收程序的约定：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bookmarkStart w:id="195" w:name="_Hlk46406260"/>
      <w:r>
        <w:rPr>
          <w:rFonts w:hint="eastAsia"/>
          <w:color w:val="auto"/>
          <w:szCs w:val="21"/>
          <w:highlight w:val="none"/>
        </w:rPr>
        <w:t>发包人不按照合同约定组织竣工验收、颁发工程接受证书的违约金的计算方式：</w:t>
      </w:r>
      <w:r>
        <w:rPr>
          <w:color w:val="auto"/>
          <w:szCs w:val="21"/>
          <w:highlight w:val="none"/>
          <w:u w:val="single"/>
        </w:rPr>
        <w:t xml:space="preserve">                                    </w:t>
      </w:r>
      <w:r>
        <w:rPr>
          <w:rFonts w:hint="eastAsia"/>
          <w:color w:val="auto"/>
          <w:szCs w:val="21"/>
          <w:highlight w:val="none"/>
        </w:rPr>
        <w:t>。</w:t>
      </w:r>
    </w:p>
    <w:bookmarkEnd w:id="195"/>
    <w:p>
      <w:pPr>
        <w:snapToGrid w:val="0"/>
        <w:spacing w:line="360" w:lineRule="auto"/>
        <w:ind w:firstLine="420"/>
        <w:rPr>
          <w:color w:val="auto"/>
          <w:szCs w:val="21"/>
          <w:highlight w:val="none"/>
        </w:rPr>
      </w:pPr>
      <w:r>
        <w:rPr>
          <w:color w:val="auto"/>
          <w:szCs w:val="21"/>
          <w:highlight w:val="none"/>
        </w:rPr>
        <w:t>10.3</w:t>
      </w:r>
      <w:r>
        <w:rPr>
          <w:color w:val="auto"/>
          <w:szCs w:val="21"/>
          <w:highlight w:val="none"/>
        </w:rPr>
        <w:tab/>
      </w:r>
      <w:r>
        <w:rPr>
          <w:color w:val="auto"/>
          <w:szCs w:val="21"/>
          <w:highlight w:val="none"/>
        </w:rPr>
        <w:t xml:space="preserve"> 工程的接收</w:t>
      </w:r>
    </w:p>
    <w:p>
      <w:pPr>
        <w:snapToGrid w:val="0"/>
        <w:spacing w:line="360" w:lineRule="auto"/>
        <w:ind w:firstLine="420"/>
        <w:rPr>
          <w:color w:val="auto"/>
          <w:szCs w:val="21"/>
          <w:highlight w:val="none"/>
        </w:rPr>
      </w:pPr>
      <w:r>
        <w:rPr>
          <w:color w:val="auto"/>
          <w:szCs w:val="21"/>
          <w:highlight w:val="none"/>
        </w:rPr>
        <w:t>10.3.1</w:t>
      </w:r>
      <w:r>
        <w:rPr>
          <w:rFonts w:hint="eastAsia"/>
          <w:color w:val="auto"/>
          <w:szCs w:val="21"/>
          <w:highlight w:val="none"/>
        </w:rPr>
        <w:t>工程接收的先后顺序、时间安排和其他要求：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10.3.2 </w:t>
      </w:r>
      <w:r>
        <w:rPr>
          <w:rFonts w:hint="eastAsia"/>
          <w:color w:val="auto"/>
          <w:szCs w:val="21"/>
          <w:highlight w:val="none"/>
        </w:rPr>
        <w:t>接受工程时承包人需提交竣工验收资料的类别、内容、份数和提交时间：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10.3.3 </w:t>
      </w:r>
      <w:r>
        <w:rPr>
          <w:rFonts w:hint="eastAsia"/>
          <w:color w:val="auto"/>
          <w:szCs w:val="21"/>
          <w:highlight w:val="none"/>
        </w:rPr>
        <w:t>发包人逾期接收工程的违约责任：</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10.3.4 </w:t>
      </w:r>
      <w:r>
        <w:rPr>
          <w:rFonts w:hint="eastAsia"/>
          <w:color w:val="auto"/>
          <w:szCs w:val="21"/>
          <w:highlight w:val="none"/>
        </w:rPr>
        <w:t>承包人无正当理由不移交工程的违约责任：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10.4 </w:t>
      </w:r>
      <w:r>
        <w:rPr>
          <w:rFonts w:hint="eastAsia"/>
          <w:color w:val="auto"/>
          <w:szCs w:val="21"/>
          <w:highlight w:val="none"/>
        </w:rPr>
        <w:t>接收证书</w:t>
      </w:r>
    </w:p>
    <w:p>
      <w:pPr>
        <w:snapToGrid w:val="0"/>
        <w:spacing w:line="360" w:lineRule="auto"/>
        <w:ind w:firstLine="420"/>
        <w:rPr>
          <w:color w:val="auto"/>
          <w:szCs w:val="21"/>
          <w:highlight w:val="none"/>
        </w:rPr>
      </w:pPr>
      <w:r>
        <w:rPr>
          <w:color w:val="auto"/>
          <w:szCs w:val="21"/>
          <w:highlight w:val="none"/>
        </w:rPr>
        <w:t xml:space="preserve">10.4.1 </w:t>
      </w:r>
      <w:r>
        <w:rPr>
          <w:rFonts w:hint="eastAsia"/>
          <w:color w:val="auto"/>
          <w:szCs w:val="21"/>
          <w:highlight w:val="none"/>
        </w:rPr>
        <w:t>工程接收证书颁发时间：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10.5 </w:t>
      </w:r>
      <w:r>
        <w:rPr>
          <w:rFonts w:hint="eastAsia"/>
          <w:color w:val="auto"/>
          <w:szCs w:val="21"/>
          <w:highlight w:val="none"/>
        </w:rPr>
        <w:t>竣工退场</w:t>
      </w:r>
    </w:p>
    <w:p>
      <w:pPr>
        <w:snapToGrid w:val="0"/>
        <w:spacing w:line="360" w:lineRule="auto"/>
        <w:ind w:firstLine="420"/>
        <w:rPr>
          <w:color w:val="auto"/>
          <w:szCs w:val="21"/>
          <w:highlight w:val="none"/>
        </w:rPr>
      </w:pPr>
      <w:r>
        <w:rPr>
          <w:color w:val="auto"/>
          <w:szCs w:val="21"/>
          <w:highlight w:val="none"/>
        </w:rPr>
        <w:t xml:space="preserve">10.5.1 </w:t>
      </w:r>
      <w:r>
        <w:rPr>
          <w:rFonts w:hint="eastAsia"/>
          <w:color w:val="auto"/>
          <w:szCs w:val="21"/>
          <w:highlight w:val="none"/>
        </w:rPr>
        <w:t>竣工退场的相关约定：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10.5.3</w:t>
      </w:r>
      <w:r>
        <w:rPr>
          <w:rFonts w:hint="eastAsia"/>
          <w:color w:val="auto"/>
          <w:szCs w:val="21"/>
          <w:highlight w:val="none"/>
        </w:rPr>
        <w:t>人员撤离</w:t>
      </w:r>
    </w:p>
    <w:p>
      <w:pPr>
        <w:snapToGrid w:val="0"/>
        <w:spacing w:line="360" w:lineRule="auto"/>
        <w:ind w:firstLine="420"/>
        <w:rPr>
          <w:color w:val="auto"/>
          <w:szCs w:val="21"/>
          <w:highlight w:val="none"/>
        </w:rPr>
      </w:pPr>
      <w:r>
        <w:rPr>
          <w:rFonts w:hint="eastAsia"/>
          <w:color w:val="auto"/>
          <w:szCs w:val="21"/>
          <w:highlight w:val="none"/>
        </w:rPr>
        <w:t>工程师同意需在缺陷责任期内继续工作和使用的人员、施工设备和临时工程的内容：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6" w:name="_Toc54862342"/>
      <w:r>
        <w:rPr>
          <w:rFonts w:hint="eastAsia"/>
          <w:color w:val="auto"/>
          <w:szCs w:val="21"/>
          <w:highlight w:val="none"/>
        </w:rPr>
        <w:t>第</w:t>
      </w:r>
      <w:r>
        <w:rPr>
          <w:color w:val="auto"/>
          <w:szCs w:val="21"/>
          <w:highlight w:val="none"/>
        </w:rPr>
        <w:t>11条</w:t>
      </w:r>
      <w:r>
        <w:rPr>
          <w:rFonts w:hint="eastAsia"/>
          <w:color w:val="auto"/>
          <w:szCs w:val="21"/>
          <w:highlight w:val="none"/>
        </w:rPr>
        <w:t xml:space="preserve"> 缺陷责任与保修</w:t>
      </w:r>
      <w:bookmarkEnd w:id="196"/>
    </w:p>
    <w:p>
      <w:pPr>
        <w:snapToGrid w:val="0"/>
        <w:spacing w:line="360" w:lineRule="auto"/>
        <w:ind w:firstLine="420"/>
        <w:rPr>
          <w:color w:val="auto"/>
          <w:szCs w:val="21"/>
          <w:highlight w:val="none"/>
        </w:rPr>
      </w:pPr>
      <w:r>
        <w:rPr>
          <w:color w:val="auto"/>
          <w:szCs w:val="21"/>
          <w:highlight w:val="none"/>
        </w:rPr>
        <w:t xml:space="preserve">11.2 </w:t>
      </w:r>
      <w:r>
        <w:rPr>
          <w:rFonts w:hint="eastAsia"/>
          <w:color w:val="auto"/>
          <w:szCs w:val="21"/>
          <w:highlight w:val="none"/>
        </w:rPr>
        <w:t>缺陷责任期</w:t>
      </w:r>
    </w:p>
    <w:p>
      <w:pPr>
        <w:snapToGrid w:val="0"/>
        <w:spacing w:line="360" w:lineRule="auto"/>
        <w:ind w:firstLine="420"/>
        <w:rPr>
          <w:color w:val="auto"/>
          <w:szCs w:val="21"/>
          <w:highlight w:val="none"/>
        </w:rPr>
      </w:pPr>
      <w:r>
        <w:rPr>
          <w:color w:val="auto"/>
          <w:szCs w:val="21"/>
          <w:highlight w:val="none"/>
        </w:rPr>
        <w:t>缺陷责任期的</w:t>
      </w:r>
      <w:r>
        <w:rPr>
          <w:rFonts w:hint="eastAsia"/>
          <w:color w:val="auto"/>
          <w:szCs w:val="21"/>
          <w:highlight w:val="none"/>
        </w:rPr>
        <w:t>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缺陷调查</w:t>
      </w:r>
    </w:p>
    <w:p>
      <w:pPr>
        <w:snapToGrid w:val="0"/>
        <w:spacing w:line="360" w:lineRule="auto"/>
        <w:ind w:firstLine="420"/>
        <w:rPr>
          <w:color w:val="auto"/>
          <w:szCs w:val="21"/>
          <w:highlight w:val="none"/>
        </w:rPr>
      </w:pPr>
      <w:r>
        <w:rPr>
          <w:color w:val="auto"/>
          <w:szCs w:val="21"/>
          <w:highlight w:val="none"/>
        </w:rPr>
        <w:t xml:space="preserve">11.3.4 </w:t>
      </w:r>
      <w:r>
        <w:rPr>
          <w:rFonts w:hint="eastAsia"/>
          <w:color w:val="auto"/>
          <w:szCs w:val="21"/>
          <w:highlight w:val="none"/>
        </w:rPr>
        <w:t>修复通知</w:t>
      </w:r>
    </w:p>
    <w:p>
      <w:pPr>
        <w:snapToGrid w:val="0"/>
        <w:spacing w:line="360" w:lineRule="auto"/>
        <w:ind w:firstLine="420"/>
        <w:rPr>
          <w:color w:val="auto"/>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11.6 </w:t>
      </w:r>
      <w:r>
        <w:rPr>
          <w:rFonts w:hint="eastAsia"/>
          <w:color w:val="auto"/>
          <w:szCs w:val="21"/>
          <w:highlight w:val="none"/>
        </w:rPr>
        <w:t>缺陷责任期终止证书</w:t>
      </w:r>
    </w:p>
    <w:p>
      <w:pPr>
        <w:snapToGrid w:val="0"/>
        <w:spacing w:line="360" w:lineRule="auto"/>
        <w:ind w:firstLine="420"/>
        <w:rPr>
          <w:color w:val="auto"/>
          <w:szCs w:val="21"/>
          <w:highlight w:val="none"/>
        </w:rPr>
      </w:pPr>
      <w:r>
        <w:rPr>
          <w:rFonts w:hint="eastAsia"/>
          <w:color w:val="auto"/>
          <w:szCs w:val="21"/>
          <w:highlight w:val="none"/>
        </w:rPr>
        <w:t>承包人应于缺陷责任期届满后</w:t>
      </w:r>
      <w:r>
        <w:rPr>
          <w:color w:val="auto"/>
          <w:szCs w:val="21"/>
          <w:highlight w:val="none"/>
          <w:u w:val="single"/>
        </w:rPr>
        <w:t xml:space="preserve">    </w:t>
      </w:r>
      <w:r>
        <w:rPr>
          <w:rFonts w:hint="eastAsia"/>
          <w:color w:val="auto"/>
          <w:szCs w:val="21"/>
          <w:highlight w:val="none"/>
        </w:rPr>
        <w:t>天内向发包人发出缺陷责任期届满通知，发包人应在收到缺陷责任期满通知后</w:t>
      </w:r>
      <w:r>
        <w:rPr>
          <w:color w:val="auto"/>
          <w:szCs w:val="21"/>
          <w:highlight w:val="none"/>
          <w:u w:val="single"/>
        </w:rPr>
        <w:t xml:space="preserve">    </w:t>
      </w:r>
      <w:r>
        <w:rPr>
          <w:rFonts w:hint="eastAsia"/>
          <w:color w:val="auto"/>
          <w:szCs w:val="21"/>
          <w:highlight w:val="none"/>
        </w:rPr>
        <w:t>天内核实承包人是否履行缺陷修复义务，承包人未能履行缺陷修复义务的，发包人有权扣除相应金额的维修费用。发包人应在收到缺陷责任期届满通知后</w:t>
      </w:r>
      <w:r>
        <w:rPr>
          <w:color w:val="auto"/>
          <w:szCs w:val="21"/>
          <w:highlight w:val="none"/>
          <w:u w:val="single"/>
        </w:rPr>
        <w:t xml:space="preserve">    </w:t>
      </w:r>
      <w:r>
        <w:rPr>
          <w:rFonts w:hint="eastAsia"/>
          <w:color w:val="auto"/>
          <w:szCs w:val="21"/>
          <w:highlight w:val="none"/>
        </w:rPr>
        <w:t>天内，向承包人颁发缺陷责任期终止证书。</w:t>
      </w:r>
    </w:p>
    <w:p>
      <w:pPr>
        <w:snapToGrid w:val="0"/>
        <w:spacing w:line="360" w:lineRule="auto"/>
        <w:ind w:firstLine="420"/>
        <w:rPr>
          <w:color w:val="auto"/>
          <w:szCs w:val="21"/>
          <w:highlight w:val="none"/>
        </w:rPr>
      </w:pPr>
      <w:r>
        <w:rPr>
          <w:color w:val="auto"/>
          <w:szCs w:val="21"/>
          <w:highlight w:val="none"/>
        </w:rPr>
        <w:t xml:space="preserve">11.7 </w:t>
      </w:r>
      <w:r>
        <w:rPr>
          <w:rFonts w:hint="eastAsia"/>
          <w:color w:val="auto"/>
          <w:szCs w:val="21"/>
          <w:highlight w:val="none"/>
        </w:rPr>
        <w:t>保修责任</w:t>
      </w:r>
    </w:p>
    <w:p>
      <w:pPr>
        <w:snapToGrid w:val="0"/>
        <w:spacing w:line="360" w:lineRule="auto"/>
        <w:ind w:firstLine="420"/>
        <w:rPr>
          <w:color w:val="auto"/>
          <w:szCs w:val="21"/>
          <w:highlight w:val="none"/>
        </w:rPr>
      </w:pPr>
      <w:r>
        <w:rPr>
          <w:rFonts w:hint="eastAsia"/>
          <w:color w:val="auto"/>
          <w:szCs w:val="21"/>
          <w:highlight w:val="none"/>
        </w:rPr>
        <w:t>工程质量保修范围、期限和责任</w:t>
      </w:r>
      <w:r>
        <w:rPr>
          <w:color w:val="auto"/>
          <w:szCs w:val="21"/>
          <w:highlight w:val="none"/>
        </w:rPr>
        <w:t>为：</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7" w:name="_Toc54862343"/>
      <w:r>
        <w:rPr>
          <w:rFonts w:hint="eastAsia"/>
          <w:color w:val="auto"/>
          <w:szCs w:val="21"/>
          <w:highlight w:val="none"/>
        </w:rPr>
        <w:t>第</w:t>
      </w:r>
      <w:r>
        <w:rPr>
          <w:color w:val="auto"/>
          <w:szCs w:val="21"/>
          <w:highlight w:val="none"/>
        </w:rPr>
        <w:t>12条</w:t>
      </w:r>
      <w:r>
        <w:rPr>
          <w:rFonts w:hint="eastAsia"/>
          <w:color w:val="auto"/>
          <w:szCs w:val="21"/>
          <w:highlight w:val="none"/>
        </w:rPr>
        <w:t xml:space="preserve"> 竣工后试验</w:t>
      </w:r>
      <w:bookmarkEnd w:id="197"/>
    </w:p>
    <w:p>
      <w:pPr>
        <w:snapToGrid w:val="0"/>
        <w:spacing w:line="360" w:lineRule="auto"/>
        <w:ind w:firstLine="420"/>
        <w:rPr>
          <w:color w:val="auto"/>
          <w:szCs w:val="21"/>
          <w:highlight w:val="none"/>
        </w:rPr>
      </w:pPr>
      <w:r>
        <w:rPr>
          <w:rFonts w:hint="eastAsia"/>
          <w:color w:val="auto"/>
          <w:szCs w:val="21"/>
          <w:highlight w:val="none"/>
        </w:rPr>
        <w:t>本合同工程是否包含竣工后试验：</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12.1 </w:t>
      </w:r>
      <w:r>
        <w:rPr>
          <w:rFonts w:hint="eastAsia"/>
          <w:color w:val="auto"/>
          <w:szCs w:val="21"/>
          <w:highlight w:val="none"/>
        </w:rPr>
        <w:t>竣工后试验的程序</w:t>
      </w:r>
    </w:p>
    <w:p>
      <w:pPr>
        <w:snapToGrid w:val="0"/>
        <w:spacing w:line="360" w:lineRule="auto"/>
        <w:ind w:firstLine="420"/>
        <w:rPr>
          <w:color w:val="auto"/>
          <w:szCs w:val="21"/>
          <w:highlight w:val="none"/>
        </w:rPr>
      </w:pPr>
      <w:r>
        <w:rPr>
          <w:color w:val="auto"/>
          <w:szCs w:val="21"/>
          <w:highlight w:val="none"/>
        </w:rPr>
        <w:t xml:space="preserve">12.1.2 </w:t>
      </w:r>
      <w:r>
        <w:rPr>
          <w:rFonts w:hint="eastAsia"/>
          <w:color w:val="auto"/>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8" w:name="_Toc54862344"/>
      <w:r>
        <w:rPr>
          <w:rFonts w:hint="eastAsia"/>
          <w:color w:val="auto"/>
          <w:szCs w:val="21"/>
          <w:highlight w:val="none"/>
        </w:rPr>
        <w:t>第</w:t>
      </w:r>
      <w:r>
        <w:rPr>
          <w:color w:val="auto"/>
          <w:szCs w:val="21"/>
          <w:highlight w:val="none"/>
        </w:rPr>
        <w:t>13条</w:t>
      </w:r>
      <w:r>
        <w:rPr>
          <w:rFonts w:hint="eastAsia"/>
          <w:color w:val="auto"/>
          <w:szCs w:val="21"/>
          <w:highlight w:val="none"/>
        </w:rPr>
        <w:t xml:space="preserve"> 变更与调整</w:t>
      </w:r>
      <w:bookmarkEnd w:id="198"/>
    </w:p>
    <w:p>
      <w:pPr>
        <w:snapToGrid w:val="0"/>
        <w:spacing w:line="360" w:lineRule="auto"/>
        <w:ind w:firstLine="420"/>
        <w:rPr>
          <w:color w:val="auto"/>
          <w:szCs w:val="21"/>
          <w:highlight w:val="none"/>
        </w:rPr>
      </w:pPr>
      <w:r>
        <w:rPr>
          <w:color w:val="auto"/>
          <w:szCs w:val="21"/>
          <w:highlight w:val="none"/>
        </w:rPr>
        <w:t xml:space="preserve">13.2 </w:t>
      </w:r>
      <w:r>
        <w:rPr>
          <w:rFonts w:hint="eastAsia"/>
          <w:color w:val="auto"/>
          <w:szCs w:val="21"/>
          <w:highlight w:val="none"/>
        </w:rPr>
        <w:t>承包人的合理化建议</w:t>
      </w:r>
    </w:p>
    <w:p>
      <w:pPr>
        <w:snapToGrid w:val="0"/>
        <w:spacing w:line="360" w:lineRule="auto"/>
        <w:ind w:firstLine="420"/>
        <w:rPr>
          <w:color w:val="auto"/>
          <w:szCs w:val="21"/>
          <w:highlight w:val="none"/>
        </w:rPr>
      </w:pPr>
      <w:r>
        <w:rPr>
          <w:color w:val="auto"/>
          <w:szCs w:val="21"/>
          <w:highlight w:val="none"/>
        </w:rPr>
        <w:t xml:space="preserve">13.2.2 </w:t>
      </w:r>
      <w:r>
        <w:rPr>
          <w:rFonts w:hint="eastAsia"/>
          <w:color w:val="auto"/>
          <w:szCs w:val="21"/>
          <w:highlight w:val="none"/>
        </w:rPr>
        <w:t>工程师应在收到承包人提交的合理化建议后</w:t>
      </w:r>
      <w:r>
        <w:rPr>
          <w:rFonts w:hint="eastAsia"/>
          <w:color w:val="auto"/>
          <w:szCs w:val="21"/>
          <w:highlight w:val="none"/>
          <w:u w:val="single"/>
        </w:rPr>
        <w:t xml:space="preserve">    </w:t>
      </w:r>
      <w:r>
        <w:rPr>
          <w:rFonts w:hint="eastAsia"/>
          <w:color w:val="auto"/>
          <w:szCs w:val="21"/>
          <w:highlight w:val="none"/>
        </w:rPr>
        <w:t>日内审查完毕并报送发包人，发现其中存在技术上的缺陷，应通知承包人修改。发包人应在收到工程师报送的合理化建议后</w:t>
      </w:r>
      <w:r>
        <w:rPr>
          <w:color w:val="auto"/>
          <w:szCs w:val="21"/>
          <w:highlight w:val="none"/>
          <w:u w:val="single"/>
        </w:rPr>
        <w:t xml:space="preserve">    </w:t>
      </w:r>
      <w:r>
        <w:rPr>
          <w:rFonts w:hint="eastAsia"/>
          <w:color w:val="auto"/>
          <w:szCs w:val="21"/>
          <w:highlight w:val="none"/>
        </w:rPr>
        <w:t>日内审批完毕。合理化建议经发包人批准的，工程师应及时发出变更指示，由此引起的合同价格调整按照</w:t>
      </w:r>
      <w:r>
        <w:rPr>
          <w:rFonts w:hint="eastAsia"/>
          <w:color w:val="auto"/>
          <w:szCs w:val="21"/>
          <w:highlight w:val="none"/>
          <w:u w:val="single"/>
        </w:rPr>
        <w:t xml:space="preserve">              </w:t>
      </w:r>
      <w:r>
        <w:rPr>
          <w:rFonts w:hint="eastAsia"/>
          <w:color w:val="auto"/>
          <w:szCs w:val="21"/>
          <w:highlight w:val="none"/>
        </w:rPr>
        <w:t>执行。发包人不同意变更的，工程师应书面通知承包人</w:t>
      </w:r>
    </w:p>
    <w:p>
      <w:pPr>
        <w:snapToGrid w:val="0"/>
        <w:spacing w:line="360" w:lineRule="auto"/>
        <w:ind w:firstLine="420"/>
        <w:rPr>
          <w:color w:val="auto"/>
          <w:szCs w:val="21"/>
          <w:highlight w:val="none"/>
        </w:rPr>
      </w:pPr>
      <w:r>
        <w:rPr>
          <w:color w:val="auto"/>
          <w:szCs w:val="21"/>
          <w:highlight w:val="none"/>
        </w:rPr>
        <w:t>13.2.3 承包人提出的</w:t>
      </w:r>
      <w:r>
        <w:rPr>
          <w:rFonts w:hint="eastAsia"/>
          <w:color w:val="auto"/>
          <w:szCs w:val="21"/>
          <w:highlight w:val="none"/>
        </w:rPr>
        <w:t>合理化变更</w:t>
      </w:r>
      <w:r>
        <w:rPr>
          <w:color w:val="auto"/>
          <w:szCs w:val="21"/>
          <w:highlight w:val="none"/>
        </w:rPr>
        <w:t>建议的</w:t>
      </w:r>
      <w:r>
        <w:rPr>
          <w:rFonts w:hint="eastAsia"/>
          <w:color w:val="auto"/>
          <w:szCs w:val="21"/>
          <w:highlight w:val="none"/>
        </w:rPr>
        <w:t>利益分享约定</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13.3 </w:t>
      </w:r>
      <w:r>
        <w:rPr>
          <w:rFonts w:hint="eastAsia"/>
          <w:color w:val="auto"/>
          <w:szCs w:val="21"/>
          <w:highlight w:val="none"/>
        </w:rPr>
        <w:t>变更程序</w:t>
      </w:r>
    </w:p>
    <w:p>
      <w:pPr>
        <w:snapToGrid w:val="0"/>
        <w:spacing w:line="360" w:lineRule="auto"/>
        <w:ind w:firstLine="420"/>
        <w:rPr>
          <w:color w:val="auto"/>
          <w:szCs w:val="21"/>
          <w:highlight w:val="none"/>
        </w:rPr>
      </w:pPr>
      <w:r>
        <w:rPr>
          <w:color w:val="auto"/>
          <w:szCs w:val="21"/>
          <w:highlight w:val="none"/>
        </w:rPr>
        <w:t>13.3.3 变更估价</w:t>
      </w:r>
    </w:p>
    <w:p>
      <w:pPr>
        <w:snapToGrid w:val="0"/>
        <w:spacing w:line="360" w:lineRule="auto"/>
        <w:ind w:firstLine="420"/>
        <w:rPr>
          <w:color w:val="auto"/>
          <w:szCs w:val="21"/>
          <w:highlight w:val="none"/>
        </w:rPr>
      </w:pPr>
      <w:r>
        <w:rPr>
          <w:color w:val="auto"/>
          <w:szCs w:val="21"/>
          <w:highlight w:val="none"/>
        </w:rPr>
        <w:t>13.3.3.1 变更估价原则</w:t>
      </w:r>
    </w:p>
    <w:p>
      <w:pPr>
        <w:snapToGrid w:val="0"/>
        <w:spacing w:line="360" w:lineRule="auto"/>
        <w:ind w:firstLine="420"/>
        <w:rPr>
          <w:color w:val="auto"/>
          <w:szCs w:val="21"/>
          <w:highlight w:val="none"/>
        </w:rPr>
      </w:pPr>
      <w:r>
        <w:rPr>
          <w:rFonts w:hint="eastAsia"/>
          <w:color w:val="auto"/>
          <w:szCs w:val="21"/>
          <w:highlight w:val="none"/>
        </w:rPr>
        <w:t>关于变更估价原则的约定：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 </w:t>
      </w:r>
      <w:r>
        <w:rPr>
          <w:rFonts w:hint="eastAsia"/>
          <w:color w:val="auto"/>
          <w:szCs w:val="21"/>
          <w:highlight w:val="none"/>
        </w:rPr>
        <w:t>暂估价</w:t>
      </w:r>
    </w:p>
    <w:p>
      <w:pPr>
        <w:snapToGrid w:val="0"/>
        <w:spacing w:line="360" w:lineRule="auto"/>
        <w:ind w:firstLine="420"/>
        <w:rPr>
          <w:color w:val="auto"/>
          <w:szCs w:val="21"/>
          <w:highlight w:val="none"/>
        </w:rPr>
      </w:pPr>
      <w:r>
        <w:rPr>
          <w:color w:val="auto"/>
          <w:szCs w:val="21"/>
          <w:highlight w:val="none"/>
        </w:rPr>
        <w:t xml:space="preserve">13.4.1 </w:t>
      </w:r>
      <w:r>
        <w:rPr>
          <w:rFonts w:hint="eastAsia"/>
          <w:color w:val="auto"/>
          <w:szCs w:val="21"/>
          <w:highlight w:val="none"/>
        </w:rPr>
        <w:t>依法必须招标的暂估价项目</w:t>
      </w:r>
    </w:p>
    <w:p>
      <w:pPr>
        <w:snapToGrid w:val="0"/>
        <w:spacing w:line="360" w:lineRule="auto"/>
        <w:ind w:firstLine="420"/>
        <w:rPr>
          <w:color w:val="auto"/>
          <w:szCs w:val="21"/>
          <w:highlight w:val="none"/>
        </w:rPr>
      </w:pPr>
      <w:r>
        <w:rPr>
          <w:rFonts w:hint="eastAsia"/>
          <w:color w:val="auto"/>
          <w:szCs w:val="21"/>
          <w:highlight w:val="none"/>
        </w:rPr>
        <w:t>承包人可以参与投标的暂估价项目范围：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承包人不得参与投标的暂估价项目范围：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招投标程序及其他约定：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13.4.2 </w:t>
      </w:r>
      <w:r>
        <w:rPr>
          <w:rFonts w:hint="eastAsia"/>
          <w:color w:val="auto"/>
          <w:szCs w:val="21"/>
          <w:highlight w:val="none"/>
        </w:rPr>
        <w:t>不属于依法必须招标的暂估价项目</w:t>
      </w:r>
    </w:p>
    <w:p>
      <w:pPr>
        <w:snapToGrid w:val="0"/>
        <w:spacing w:line="360" w:lineRule="auto"/>
        <w:ind w:firstLine="420"/>
        <w:rPr>
          <w:color w:val="auto"/>
          <w:szCs w:val="21"/>
          <w:highlight w:val="none"/>
        </w:rPr>
      </w:pPr>
      <w:r>
        <w:rPr>
          <w:rFonts w:hint="eastAsia"/>
          <w:color w:val="auto"/>
          <w:szCs w:val="21"/>
          <w:highlight w:val="none"/>
        </w:rPr>
        <w:t>不属于依法必须招标的暂估价项目的协商及估价的约定：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13.5 </w:t>
      </w:r>
      <w:r>
        <w:rPr>
          <w:rFonts w:hint="eastAsia"/>
          <w:color w:val="auto"/>
          <w:szCs w:val="21"/>
          <w:highlight w:val="none"/>
        </w:rPr>
        <w:t>暂列金额</w:t>
      </w:r>
    </w:p>
    <w:p>
      <w:pPr>
        <w:snapToGrid w:val="0"/>
        <w:spacing w:line="360" w:lineRule="auto"/>
        <w:ind w:firstLine="420"/>
        <w:rPr>
          <w:color w:val="auto"/>
          <w:szCs w:val="21"/>
          <w:highlight w:val="none"/>
        </w:rPr>
      </w:pPr>
      <w:r>
        <w:rPr>
          <w:rFonts w:hint="eastAsia"/>
          <w:color w:val="auto"/>
          <w:szCs w:val="21"/>
          <w:highlight w:val="none"/>
        </w:rPr>
        <w:t>其他关于暂列金额使用的约定：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13.8 </w:t>
      </w:r>
      <w:r>
        <w:rPr>
          <w:rFonts w:hint="eastAsia"/>
          <w:color w:val="auto"/>
          <w:szCs w:val="21"/>
          <w:highlight w:val="none"/>
        </w:rPr>
        <w:t>市场价格波动引起的调整</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3.8.2 </w:t>
      </w:r>
      <w:r>
        <w:rPr>
          <w:rFonts w:hint="eastAsia"/>
          <w:color w:val="auto"/>
          <w:szCs w:val="21"/>
          <w:highlight w:val="none"/>
        </w:rPr>
        <w:t>关于是否采用《价格指数权重表》的约定：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3.8.3 </w:t>
      </w:r>
      <w:r>
        <w:rPr>
          <w:rFonts w:hint="eastAsia"/>
          <w:color w:val="auto"/>
          <w:szCs w:val="21"/>
          <w:highlight w:val="none"/>
        </w:rPr>
        <w:t>关于采用其他方式调整合同价款的约定：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9" w:name="_Toc54862345"/>
      <w:r>
        <w:rPr>
          <w:rFonts w:hint="eastAsia"/>
          <w:color w:val="auto"/>
          <w:szCs w:val="21"/>
          <w:highlight w:val="none"/>
        </w:rPr>
        <w:t>第</w:t>
      </w:r>
      <w:r>
        <w:rPr>
          <w:color w:val="auto"/>
          <w:szCs w:val="21"/>
          <w:highlight w:val="none"/>
        </w:rPr>
        <w:t>14条</w:t>
      </w:r>
      <w:r>
        <w:rPr>
          <w:rFonts w:hint="eastAsia"/>
          <w:color w:val="auto"/>
          <w:szCs w:val="21"/>
          <w:highlight w:val="none"/>
        </w:rPr>
        <w:t xml:space="preserve"> 合同价格与支付</w:t>
      </w:r>
      <w:bookmarkEnd w:id="199"/>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合同价格形式</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4.1.1 </w:t>
      </w:r>
      <w:r>
        <w:rPr>
          <w:rFonts w:hint="eastAsia"/>
          <w:color w:val="auto"/>
          <w:szCs w:val="21"/>
          <w:highlight w:val="none"/>
        </w:rPr>
        <w:t>关于合同价格形式的约定：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4.1.2 </w:t>
      </w:r>
      <w:r>
        <w:rPr>
          <w:rFonts w:hint="eastAsia"/>
          <w:color w:val="auto"/>
          <w:szCs w:val="21"/>
          <w:highlight w:val="none"/>
        </w:rPr>
        <w:t>关于合同价格调整的约定：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4.1.3 </w:t>
      </w:r>
      <w:r>
        <w:rPr>
          <w:rFonts w:hint="eastAsia"/>
          <w:color w:val="auto"/>
          <w:szCs w:val="21"/>
          <w:highlight w:val="none"/>
        </w:rPr>
        <w:t>按实际完成的工程量支付工程价款的计量方法、估价方法：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预付款</w:t>
      </w:r>
    </w:p>
    <w:p>
      <w:pPr>
        <w:snapToGrid w:val="0"/>
        <w:spacing w:line="360" w:lineRule="auto"/>
        <w:ind w:firstLine="420"/>
        <w:rPr>
          <w:color w:val="auto"/>
          <w:szCs w:val="21"/>
          <w:highlight w:val="none"/>
        </w:rPr>
      </w:pPr>
      <w:r>
        <w:rPr>
          <w:color w:val="auto"/>
          <w:szCs w:val="21"/>
          <w:highlight w:val="none"/>
        </w:rPr>
        <w:t xml:space="preserve">14.2.1 </w:t>
      </w:r>
      <w:r>
        <w:rPr>
          <w:rFonts w:hint="eastAsia"/>
          <w:color w:val="auto"/>
          <w:szCs w:val="21"/>
          <w:highlight w:val="none"/>
        </w:rPr>
        <w:t>预付款支付</w:t>
      </w:r>
    </w:p>
    <w:p>
      <w:pPr>
        <w:snapToGrid w:val="0"/>
        <w:spacing w:line="360" w:lineRule="auto"/>
        <w:ind w:firstLine="420"/>
        <w:rPr>
          <w:color w:val="auto"/>
          <w:szCs w:val="21"/>
          <w:highlight w:val="none"/>
        </w:rPr>
      </w:pPr>
      <w:r>
        <w:rPr>
          <w:rFonts w:hint="eastAsia"/>
          <w:color w:val="auto"/>
          <w:szCs w:val="21"/>
          <w:highlight w:val="none"/>
        </w:rPr>
        <w:t>预付款的金额或比例为：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预付款支付期限：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预付款扣回的方式：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4.2.2预付款担保</w:t>
      </w:r>
    </w:p>
    <w:p>
      <w:pPr>
        <w:snapToGrid w:val="0"/>
        <w:spacing w:line="360" w:lineRule="auto"/>
        <w:ind w:firstLine="420"/>
        <w:rPr>
          <w:color w:val="auto"/>
          <w:szCs w:val="21"/>
          <w:highlight w:val="none"/>
        </w:rPr>
      </w:pPr>
      <w:r>
        <w:rPr>
          <w:rFonts w:hint="eastAsia"/>
          <w:color w:val="auto"/>
          <w:szCs w:val="21"/>
          <w:highlight w:val="none"/>
        </w:rPr>
        <w:t>提供预付款担保期限：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预付款担保形式：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工程进度款</w:t>
      </w:r>
    </w:p>
    <w:p>
      <w:pPr>
        <w:snapToGrid w:val="0"/>
        <w:spacing w:line="360" w:lineRule="auto"/>
        <w:ind w:firstLine="420"/>
        <w:rPr>
          <w:color w:val="auto"/>
          <w:szCs w:val="21"/>
          <w:highlight w:val="none"/>
        </w:rPr>
      </w:pPr>
      <w:r>
        <w:rPr>
          <w:color w:val="auto"/>
          <w:szCs w:val="21"/>
          <w:highlight w:val="none"/>
        </w:rPr>
        <w:t xml:space="preserve">14.3.1 </w:t>
      </w:r>
      <w:r>
        <w:rPr>
          <w:rFonts w:hint="eastAsia"/>
          <w:color w:val="auto"/>
          <w:szCs w:val="21"/>
          <w:highlight w:val="none"/>
        </w:rPr>
        <w:t>工程进度付款申请</w:t>
      </w:r>
    </w:p>
    <w:p>
      <w:pPr>
        <w:snapToGrid w:val="0"/>
        <w:spacing w:line="360" w:lineRule="auto"/>
        <w:ind w:firstLine="420"/>
        <w:rPr>
          <w:color w:val="auto"/>
          <w:szCs w:val="21"/>
          <w:highlight w:val="none"/>
        </w:rPr>
      </w:pPr>
      <w:r>
        <w:rPr>
          <w:rFonts w:hint="eastAsia"/>
          <w:color w:val="auto"/>
          <w:szCs w:val="21"/>
          <w:highlight w:val="none"/>
        </w:rPr>
        <w:t>工程进度付款申请方式：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承包人提交进度付款申请单的格式、内容、份数和时间：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进度付款申请单应包括的内容：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14.3.2 </w:t>
      </w:r>
      <w:r>
        <w:rPr>
          <w:rFonts w:hint="eastAsia"/>
          <w:color w:val="auto"/>
          <w:szCs w:val="21"/>
          <w:highlight w:val="none"/>
        </w:rPr>
        <w:t>进度付款审核和支付</w:t>
      </w:r>
    </w:p>
    <w:p>
      <w:pPr>
        <w:snapToGrid w:val="0"/>
        <w:spacing w:line="360" w:lineRule="auto"/>
        <w:ind w:firstLine="420"/>
        <w:rPr>
          <w:color w:val="auto"/>
          <w:szCs w:val="21"/>
          <w:highlight w:val="none"/>
        </w:rPr>
      </w:pPr>
      <w:r>
        <w:rPr>
          <w:rFonts w:hint="eastAsia"/>
          <w:color w:val="auto"/>
          <w:szCs w:val="21"/>
          <w:highlight w:val="none"/>
        </w:rPr>
        <w:t>进度付款的审核方式和支付的约定：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发包人应在进度款支付证书或临时进度款支付证书签发后的</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天内完成支付，发包人逾期支付进度款的，应按照</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支付违约金。</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付款计划表</w:t>
      </w:r>
    </w:p>
    <w:p>
      <w:pPr>
        <w:snapToGrid w:val="0"/>
        <w:spacing w:line="360" w:lineRule="auto"/>
        <w:ind w:firstLine="420"/>
        <w:rPr>
          <w:color w:val="auto"/>
          <w:szCs w:val="21"/>
          <w:highlight w:val="none"/>
        </w:rPr>
      </w:pPr>
      <w:r>
        <w:rPr>
          <w:color w:val="auto"/>
          <w:szCs w:val="21"/>
          <w:highlight w:val="none"/>
        </w:rPr>
        <w:t>14.4.1 付款计划表的编制要求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14.4.2 </w:t>
      </w:r>
      <w:r>
        <w:rPr>
          <w:rFonts w:hint="eastAsia"/>
          <w:color w:val="auto"/>
          <w:szCs w:val="21"/>
          <w:highlight w:val="none"/>
        </w:rPr>
        <w:t>付款计划表的编制与审批</w:t>
      </w:r>
    </w:p>
    <w:p>
      <w:pPr>
        <w:snapToGrid w:val="0"/>
        <w:spacing w:line="360" w:lineRule="auto"/>
        <w:ind w:firstLine="420"/>
        <w:rPr>
          <w:color w:val="auto"/>
          <w:szCs w:val="21"/>
          <w:highlight w:val="none"/>
        </w:rPr>
      </w:pPr>
      <w:r>
        <w:rPr>
          <w:rFonts w:hint="eastAsia"/>
          <w:color w:val="auto"/>
          <w:szCs w:val="21"/>
          <w:highlight w:val="none"/>
        </w:rPr>
        <w:t>付款计划表的编制：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 </w:t>
      </w:r>
      <w:r>
        <w:rPr>
          <w:rFonts w:hint="eastAsia"/>
          <w:color w:val="auto"/>
          <w:szCs w:val="21"/>
          <w:highlight w:val="none"/>
        </w:rPr>
        <w:t>竣工结算</w:t>
      </w:r>
    </w:p>
    <w:p>
      <w:pPr>
        <w:snapToGrid w:val="0"/>
        <w:spacing w:line="360" w:lineRule="auto"/>
        <w:ind w:firstLine="420"/>
        <w:rPr>
          <w:color w:val="auto"/>
          <w:szCs w:val="21"/>
          <w:highlight w:val="none"/>
        </w:rPr>
      </w:pPr>
      <w:r>
        <w:rPr>
          <w:color w:val="auto"/>
          <w:szCs w:val="21"/>
          <w:highlight w:val="none"/>
        </w:rPr>
        <w:t xml:space="preserve">14.5.1 </w:t>
      </w:r>
      <w:r>
        <w:rPr>
          <w:rFonts w:hint="eastAsia"/>
          <w:color w:val="auto"/>
          <w:szCs w:val="21"/>
          <w:highlight w:val="none"/>
        </w:rPr>
        <w:t>竣工结算申请</w:t>
      </w:r>
    </w:p>
    <w:p>
      <w:pPr>
        <w:snapToGrid w:val="0"/>
        <w:spacing w:line="360" w:lineRule="auto"/>
        <w:ind w:firstLine="420"/>
        <w:rPr>
          <w:color w:val="auto"/>
          <w:szCs w:val="21"/>
          <w:highlight w:val="none"/>
        </w:rPr>
      </w:pPr>
      <w:r>
        <w:rPr>
          <w:rFonts w:hint="eastAsia"/>
          <w:color w:val="auto"/>
          <w:szCs w:val="21"/>
          <w:highlight w:val="none"/>
        </w:rPr>
        <w:t>承包人提交竣工结算申请的时间：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竣工结算申请的资料清单和份数：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竣工结算申请单的内容应包括：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14.5.2 </w:t>
      </w:r>
      <w:r>
        <w:rPr>
          <w:rFonts w:hint="eastAsia"/>
          <w:color w:val="auto"/>
          <w:szCs w:val="21"/>
          <w:highlight w:val="none"/>
        </w:rPr>
        <w:t>竣工结算审核</w:t>
      </w:r>
    </w:p>
    <w:p>
      <w:pPr>
        <w:snapToGrid w:val="0"/>
        <w:spacing w:line="360" w:lineRule="auto"/>
        <w:ind w:firstLine="420"/>
        <w:rPr>
          <w:color w:val="auto"/>
          <w:szCs w:val="21"/>
          <w:highlight w:val="none"/>
        </w:rPr>
      </w:pPr>
      <w:r>
        <w:rPr>
          <w:rFonts w:hint="eastAsia"/>
          <w:color w:val="auto"/>
          <w:szCs w:val="21"/>
          <w:highlight w:val="none"/>
        </w:rPr>
        <w:t>发包人审批竣工付款申请单的期限：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关于竣工付款证书异议部分复核的方式和程序：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 </w:t>
      </w:r>
      <w:r>
        <w:rPr>
          <w:rFonts w:hint="eastAsia"/>
          <w:color w:val="auto"/>
          <w:szCs w:val="21"/>
          <w:highlight w:val="none"/>
        </w:rPr>
        <w:t>质量保证金</w:t>
      </w:r>
    </w:p>
    <w:p>
      <w:pPr>
        <w:snapToGrid w:val="0"/>
        <w:spacing w:line="360" w:lineRule="auto"/>
        <w:ind w:firstLine="420"/>
        <w:rPr>
          <w:color w:val="auto"/>
          <w:szCs w:val="21"/>
          <w:highlight w:val="none"/>
        </w:rPr>
      </w:pPr>
      <w:r>
        <w:rPr>
          <w:color w:val="auto"/>
          <w:szCs w:val="21"/>
          <w:highlight w:val="none"/>
        </w:rPr>
        <w:t xml:space="preserve">14.6.1 </w:t>
      </w:r>
      <w:r>
        <w:rPr>
          <w:rFonts w:hint="eastAsia"/>
          <w:color w:val="auto"/>
          <w:szCs w:val="21"/>
          <w:highlight w:val="none"/>
        </w:rPr>
        <w:t>承包人提供质量保证金的方式</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采用以下</w:t>
      </w:r>
      <w:r>
        <w:rPr>
          <w:rFonts w:hint="eastAsia"/>
          <w:color w:val="auto"/>
          <w:szCs w:val="21"/>
          <w:highlight w:val="none"/>
        </w:rPr>
        <w:t>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 xml:space="preserve">(1) </w:t>
      </w:r>
      <w:r>
        <w:rPr>
          <w:rFonts w:hint="eastAsia"/>
          <w:color w:val="auto"/>
          <w:szCs w:val="21"/>
          <w:highlight w:val="none"/>
        </w:rPr>
        <w:t>工程质量保证担保</w:t>
      </w:r>
      <w:r>
        <w:rPr>
          <w:color w:val="auto"/>
          <w:szCs w:val="21"/>
          <w:highlight w:val="none"/>
        </w:rPr>
        <w:t>，保证金额为：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 </w:t>
      </w:r>
      <w:r>
        <w:rPr>
          <w:color w:val="auto"/>
          <w:szCs w:val="21"/>
          <w:highlight w:val="none"/>
          <w:u w:val="single"/>
        </w:rPr>
        <w:t xml:space="preserve">       </w:t>
      </w:r>
      <w:r>
        <w:rPr>
          <w:color w:val="auto"/>
          <w:szCs w:val="21"/>
          <w:highlight w:val="none"/>
        </w:rPr>
        <w:t>%的工程款；</w:t>
      </w:r>
    </w:p>
    <w:p>
      <w:pPr>
        <w:snapToGrid w:val="0"/>
        <w:spacing w:line="360" w:lineRule="auto"/>
        <w:ind w:firstLine="420"/>
        <w:rPr>
          <w:color w:val="auto"/>
          <w:szCs w:val="21"/>
          <w:highlight w:val="none"/>
        </w:rPr>
      </w:pPr>
      <w:r>
        <w:rPr>
          <w:color w:val="auto"/>
          <w:szCs w:val="21"/>
          <w:highlight w:val="none"/>
        </w:rPr>
        <w:t xml:space="preserve">(3) </w:t>
      </w:r>
      <w:r>
        <w:rPr>
          <w:rFonts w:hint="eastAsia"/>
          <w:color w:val="auto"/>
          <w:szCs w:val="21"/>
          <w:highlight w:val="none"/>
        </w:rPr>
        <w:t>其他方式：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14.6.2 </w:t>
      </w:r>
      <w:r>
        <w:rPr>
          <w:rFonts w:hint="eastAsia"/>
          <w:color w:val="auto"/>
          <w:szCs w:val="21"/>
          <w:highlight w:val="none"/>
        </w:rPr>
        <w:t>质量保证金的预留</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的预留采取以下第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(1) 在支付工程进度款时逐次预留</w:t>
      </w:r>
      <w:r>
        <w:rPr>
          <w:rFonts w:hint="eastAsia"/>
          <w:color w:val="auto"/>
          <w:szCs w:val="21"/>
          <w:highlight w:val="none"/>
        </w:rPr>
        <w:t>的质量保证金的比例：</w:t>
      </w:r>
      <w:r>
        <w:rPr>
          <w:color w:val="auto"/>
          <w:szCs w:val="21"/>
          <w:highlight w:val="none"/>
          <w:u w:val="single"/>
        </w:rPr>
        <w:t xml:space="preserve">            </w:t>
      </w:r>
      <w:r>
        <w:rPr>
          <w:color w:val="auto"/>
          <w:szCs w:val="21"/>
          <w:highlight w:val="none"/>
        </w:rPr>
        <w:t>，在此情形下，质量</w:t>
      </w:r>
      <w:r>
        <w:rPr>
          <w:rFonts w:hint="eastAsia"/>
          <w:color w:val="auto"/>
          <w:szCs w:val="21"/>
          <w:highlight w:val="none"/>
        </w:rPr>
        <w:t>保证金</w:t>
      </w:r>
      <w:r>
        <w:rPr>
          <w:color w:val="auto"/>
          <w:szCs w:val="21"/>
          <w:highlight w:val="none"/>
        </w:rPr>
        <w:t>的计算基数不包括预付款的支付、扣回以及价格调整的金额；</w:t>
      </w:r>
    </w:p>
    <w:p>
      <w:pPr>
        <w:snapToGrid w:val="0"/>
        <w:spacing w:line="360" w:lineRule="auto"/>
        <w:ind w:firstLine="420"/>
        <w:rPr>
          <w:color w:val="auto"/>
          <w:szCs w:val="21"/>
          <w:highlight w:val="none"/>
        </w:rPr>
      </w:pPr>
      <w:r>
        <w:rPr>
          <w:color w:val="auto"/>
          <w:szCs w:val="21"/>
          <w:highlight w:val="none"/>
        </w:rPr>
        <w:t>(2) 工程竣工结算时一次性预留</w:t>
      </w:r>
      <w:r>
        <w:rPr>
          <w:rFonts w:hint="eastAsia"/>
          <w:color w:val="auto"/>
          <w:szCs w:val="21"/>
          <w:highlight w:val="none"/>
        </w:rPr>
        <w:t>专用合同条件第</w:t>
      </w:r>
      <w:r>
        <w:rPr>
          <w:color w:val="auto"/>
          <w:szCs w:val="21"/>
          <w:highlight w:val="none"/>
        </w:rPr>
        <w:t>14.6.1</w:t>
      </w:r>
      <w:r>
        <w:rPr>
          <w:rFonts w:hint="eastAsia"/>
          <w:color w:val="auto"/>
          <w:szCs w:val="21"/>
          <w:highlight w:val="none"/>
        </w:rPr>
        <w:t>项第</w:t>
      </w:r>
      <w:r>
        <w:rPr>
          <w:color w:val="auto"/>
          <w:szCs w:val="21"/>
          <w:highlight w:val="none"/>
        </w:rPr>
        <w:t>(2)</w:t>
      </w:r>
      <w:r>
        <w:rPr>
          <w:rFonts w:hint="eastAsia"/>
          <w:color w:val="auto"/>
          <w:szCs w:val="21"/>
          <w:highlight w:val="none"/>
        </w:rPr>
        <w:t>目约定的工程款预留比例的</w:t>
      </w:r>
      <w:r>
        <w:rPr>
          <w:color w:val="auto"/>
          <w:szCs w:val="21"/>
          <w:highlight w:val="none"/>
        </w:rPr>
        <w:t>质量</w:t>
      </w:r>
      <w:r>
        <w:rPr>
          <w:rFonts w:hint="eastAsia"/>
          <w:color w:val="auto"/>
          <w:szCs w:val="21"/>
          <w:highlight w:val="none"/>
        </w:rPr>
        <w:t>保证金</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(3) 其他预留方式:</w:t>
      </w:r>
      <w:r>
        <w:rPr>
          <w:rFonts w:hint="eastAsia"/>
          <w:color w:val="auto"/>
          <w:szCs w:val="21"/>
          <w:highlight w:val="non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 </w:t>
      </w:r>
      <w:r>
        <w:rPr>
          <w:rFonts w:hint="eastAsia"/>
          <w:color w:val="auto"/>
          <w:szCs w:val="21"/>
          <w:highlight w:val="none"/>
        </w:rPr>
        <w:t>最终结清</w:t>
      </w:r>
    </w:p>
    <w:p>
      <w:pPr>
        <w:snapToGrid w:val="0"/>
        <w:spacing w:line="360" w:lineRule="auto"/>
        <w:ind w:firstLine="420"/>
        <w:rPr>
          <w:color w:val="auto"/>
          <w:szCs w:val="21"/>
          <w:highlight w:val="none"/>
        </w:rPr>
      </w:pPr>
      <w:r>
        <w:rPr>
          <w:color w:val="auto"/>
          <w:szCs w:val="21"/>
          <w:highlight w:val="none"/>
        </w:rPr>
        <w:t xml:space="preserve">14.7.1 </w:t>
      </w:r>
      <w:r>
        <w:rPr>
          <w:rFonts w:hint="eastAsia"/>
          <w:color w:val="auto"/>
          <w:szCs w:val="21"/>
          <w:highlight w:val="none"/>
        </w:rPr>
        <w:t>最终结清申请单</w:t>
      </w:r>
    </w:p>
    <w:p>
      <w:pPr>
        <w:snapToGrid w:val="0"/>
        <w:spacing w:line="360" w:lineRule="auto"/>
        <w:ind w:firstLine="420"/>
        <w:rPr>
          <w:color w:val="auto"/>
          <w:szCs w:val="21"/>
          <w:highlight w:val="none"/>
        </w:rPr>
      </w:pPr>
      <w:r>
        <w:rPr>
          <w:rFonts w:hint="eastAsia"/>
          <w:color w:val="auto"/>
          <w:szCs w:val="21"/>
          <w:highlight w:val="none"/>
        </w:rPr>
        <w:t>当事人双方关于最终结清申请的其他约定：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14.7.2 </w:t>
      </w:r>
      <w:r>
        <w:rPr>
          <w:rFonts w:hint="eastAsia"/>
          <w:color w:val="auto"/>
          <w:szCs w:val="21"/>
          <w:highlight w:val="none"/>
        </w:rPr>
        <w:t>最终结清证书和支付</w:t>
      </w:r>
    </w:p>
    <w:p>
      <w:pPr>
        <w:snapToGrid w:val="0"/>
        <w:spacing w:line="360" w:lineRule="auto"/>
        <w:ind w:firstLine="420"/>
        <w:rPr>
          <w:color w:val="auto"/>
          <w:szCs w:val="21"/>
          <w:highlight w:val="none"/>
        </w:rPr>
      </w:pPr>
      <w:r>
        <w:rPr>
          <w:rFonts w:hint="eastAsia"/>
          <w:color w:val="auto"/>
          <w:szCs w:val="21"/>
          <w:highlight w:val="none"/>
        </w:rPr>
        <w:t>当事人双方关于最终结清支付的其他约定：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0" w:name="_Toc54862346"/>
      <w:r>
        <w:rPr>
          <w:rFonts w:hint="eastAsia"/>
          <w:color w:val="auto"/>
          <w:szCs w:val="21"/>
          <w:highlight w:val="none"/>
        </w:rPr>
        <w:t>第</w:t>
      </w:r>
      <w:r>
        <w:rPr>
          <w:color w:val="auto"/>
          <w:szCs w:val="21"/>
          <w:highlight w:val="none"/>
        </w:rPr>
        <w:t>15条</w:t>
      </w:r>
      <w:r>
        <w:rPr>
          <w:rFonts w:hint="eastAsia"/>
          <w:color w:val="auto"/>
          <w:szCs w:val="21"/>
          <w:highlight w:val="none"/>
        </w:rPr>
        <w:t xml:space="preserve"> 违约</w:t>
      </w:r>
      <w:bookmarkEnd w:id="200"/>
    </w:p>
    <w:p>
      <w:pPr>
        <w:snapToGrid w:val="0"/>
        <w:spacing w:line="360" w:lineRule="auto"/>
        <w:ind w:firstLine="420"/>
        <w:rPr>
          <w:color w:val="auto"/>
          <w:szCs w:val="21"/>
          <w:highlight w:val="none"/>
        </w:rPr>
      </w:pPr>
      <w:r>
        <w:rPr>
          <w:color w:val="auto"/>
          <w:szCs w:val="21"/>
          <w:highlight w:val="none"/>
        </w:rPr>
        <w:t xml:space="preserve">15.1 </w:t>
      </w:r>
      <w:r>
        <w:rPr>
          <w:rFonts w:hint="eastAsia"/>
          <w:color w:val="auto"/>
          <w:szCs w:val="21"/>
          <w:highlight w:val="none"/>
        </w:rPr>
        <w:t>发包人违约</w:t>
      </w:r>
    </w:p>
    <w:p>
      <w:pPr>
        <w:snapToGrid w:val="0"/>
        <w:spacing w:line="360" w:lineRule="auto"/>
        <w:ind w:firstLine="420"/>
        <w:rPr>
          <w:color w:val="auto"/>
          <w:szCs w:val="21"/>
          <w:highlight w:val="none"/>
        </w:rPr>
      </w:pPr>
      <w:r>
        <w:rPr>
          <w:color w:val="auto"/>
          <w:szCs w:val="21"/>
          <w:highlight w:val="none"/>
        </w:rPr>
        <w:t xml:space="preserve">15.1.1 </w:t>
      </w:r>
      <w:r>
        <w:rPr>
          <w:rFonts w:hint="eastAsia"/>
          <w:color w:val="auto"/>
          <w:szCs w:val="21"/>
          <w:highlight w:val="none"/>
        </w:rPr>
        <w:t>发包人违约的情形</w:t>
      </w:r>
    </w:p>
    <w:p>
      <w:pPr>
        <w:snapToGrid w:val="0"/>
        <w:spacing w:line="360" w:lineRule="auto"/>
        <w:ind w:firstLine="420"/>
        <w:rPr>
          <w:color w:val="auto"/>
          <w:szCs w:val="21"/>
          <w:highlight w:val="none"/>
        </w:rPr>
      </w:pPr>
      <w:r>
        <w:rPr>
          <w:rFonts w:hint="eastAsia"/>
          <w:color w:val="auto"/>
          <w:szCs w:val="21"/>
          <w:highlight w:val="none"/>
        </w:rPr>
        <w:t>发包人违约的其他情形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15.1.3 </w:t>
      </w:r>
      <w:r>
        <w:rPr>
          <w:rFonts w:hint="eastAsia"/>
          <w:color w:val="auto"/>
          <w:szCs w:val="21"/>
          <w:highlight w:val="none"/>
        </w:rPr>
        <w:t>发包人违约的责任</w:t>
      </w:r>
    </w:p>
    <w:p>
      <w:pPr>
        <w:snapToGrid w:val="0"/>
        <w:spacing w:line="360" w:lineRule="auto"/>
        <w:ind w:firstLine="420"/>
        <w:rPr>
          <w:color w:val="auto"/>
          <w:szCs w:val="21"/>
          <w:highlight w:val="none"/>
        </w:rPr>
      </w:pPr>
      <w:r>
        <w:rPr>
          <w:rFonts w:hint="eastAsia"/>
          <w:color w:val="auto"/>
          <w:szCs w:val="21"/>
          <w:highlight w:val="none"/>
        </w:rPr>
        <w:t>发包人违约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 </w:t>
      </w:r>
      <w:r>
        <w:rPr>
          <w:rFonts w:hint="eastAsia"/>
          <w:color w:val="auto"/>
          <w:szCs w:val="21"/>
          <w:highlight w:val="none"/>
        </w:rPr>
        <w:t>承包人违约</w:t>
      </w:r>
    </w:p>
    <w:p>
      <w:pPr>
        <w:snapToGrid w:val="0"/>
        <w:spacing w:line="360" w:lineRule="auto"/>
        <w:ind w:firstLine="420"/>
        <w:rPr>
          <w:color w:val="auto"/>
          <w:szCs w:val="21"/>
          <w:highlight w:val="none"/>
        </w:rPr>
      </w:pPr>
      <w:r>
        <w:rPr>
          <w:color w:val="auto"/>
          <w:szCs w:val="21"/>
          <w:highlight w:val="none"/>
        </w:rPr>
        <w:t xml:space="preserve">15.2.1 </w:t>
      </w:r>
      <w:r>
        <w:rPr>
          <w:rFonts w:hint="eastAsia"/>
          <w:color w:val="auto"/>
          <w:szCs w:val="21"/>
          <w:highlight w:val="none"/>
        </w:rPr>
        <w:t>承包人违约的情形</w:t>
      </w:r>
    </w:p>
    <w:p>
      <w:pPr>
        <w:snapToGrid w:val="0"/>
        <w:spacing w:line="360" w:lineRule="auto"/>
        <w:ind w:firstLine="420"/>
        <w:rPr>
          <w:color w:val="auto"/>
          <w:szCs w:val="21"/>
          <w:highlight w:val="none"/>
        </w:rPr>
      </w:pPr>
      <w:r>
        <w:rPr>
          <w:rFonts w:hint="eastAsia"/>
          <w:color w:val="auto"/>
          <w:szCs w:val="21"/>
          <w:highlight w:val="none"/>
        </w:rPr>
        <w:t>承包人违约的其他情形：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15.2.2 </w:t>
      </w:r>
      <w:r>
        <w:rPr>
          <w:rFonts w:hint="eastAsia"/>
          <w:color w:val="auto"/>
          <w:szCs w:val="21"/>
          <w:highlight w:val="none"/>
        </w:rPr>
        <w:t>通知改正</w:t>
      </w:r>
    </w:p>
    <w:p>
      <w:pPr>
        <w:snapToGrid w:val="0"/>
        <w:spacing w:line="360" w:lineRule="auto"/>
        <w:ind w:firstLine="420"/>
        <w:rPr>
          <w:color w:val="auto"/>
          <w:szCs w:val="21"/>
          <w:highlight w:val="none"/>
        </w:rPr>
      </w:pPr>
      <w:r>
        <w:rPr>
          <w:rFonts w:hint="eastAsia"/>
          <w:color w:val="auto"/>
          <w:szCs w:val="21"/>
          <w:highlight w:val="none"/>
        </w:rPr>
        <w:t>工程师通知承包人改正的合理期限是：</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15.2.3 </w:t>
      </w:r>
      <w:r>
        <w:rPr>
          <w:rFonts w:hint="eastAsia"/>
          <w:color w:val="auto"/>
          <w:szCs w:val="21"/>
          <w:highlight w:val="none"/>
        </w:rPr>
        <w:t>承包人违约的责任</w:t>
      </w:r>
    </w:p>
    <w:p>
      <w:pPr>
        <w:snapToGrid w:val="0"/>
        <w:spacing w:line="360" w:lineRule="auto"/>
        <w:ind w:firstLine="420"/>
        <w:rPr>
          <w:color w:val="auto"/>
          <w:szCs w:val="21"/>
          <w:highlight w:val="none"/>
        </w:rPr>
      </w:pPr>
      <w:r>
        <w:rPr>
          <w:rFonts w:hint="eastAsia"/>
          <w:color w:val="auto"/>
          <w:szCs w:val="21"/>
          <w:highlight w:val="none"/>
        </w:rPr>
        <w:t>承包人违约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1" w:name="_Toc54862347"/>
      <w:r>
        <w:rPr>
          <w:rFonts w:hint="eastAsia"/>
          <w:color w:val="auto"/>
          <w:szCs w:val="21"/>
          <w:highlight w:val="none"/>
        </w:rPr>
        <w:t>第</w:t>
      </w:r>
      <w:r>
        <w:rPr>
          <w:color w:val="auto"/>
          <w:szCs w:val="21"/>
          <w:highlight w:val="none"/>
        </w:rPr>
        <w:t>16条</w:t>
      </w:r>
      <w:r>
        <w:rPr>
          <w:rFonts w:hint="eastAsia"/>
          <w:color w:val="auto"/>
          <w:szCs w:val="21"/>
          <w:highlight w:val="none"/>
        </w:rPr>
        <w:t xml:space="preserve"> 合同解除</w:t>
      </w:r>
      <w:bookmarkEnd w:id="201"/>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由发包人解除合同</w:t>
      </w:r>
    </w:p>
    <w:p>
      <w:pPr>
        <w:snapToGrid w:val="0"/>
        <w:spacing w:line="360" w:lineRule="auto"/>
        <w:ind w:firstLine="420"/>
        <w:rPr>
          <w:color w:val="auto"/>
          <w:szCs w:val="21"/>
          <w:highlight w:val="none"/>
        </w:rPr>
      </w:pPr>
      <w:r>
        <w:rPr>
          <w:color w:val="auto"/>
          <w:szCs w:val="21"/>
          <w:highlight w:val="none"/>
        </w:rPr>
        <w:t xml:space="preserve">16.1.1 </w:t>
      </w:r>
      <w:r>
        <w:rPr>
          <w:rFonts w:hint="eastAsia"/>
          <w:color w:val="auto"/>
          <w:szCs w:val="21"/>
          <w:highlight w:val="none"/>
        </w:rPr>
        <w:t>因承包人违约解除合同</w:t>
      </w:r>
    </w:p>
    <w:p>
      <w:pPr>
        <w:snapToGrid w:val="0"/>
        <w:spacing w:line="360" w:lineRule="auto"/>
        <w:ind w:firstLine="420"/>
        <w:rPr>
          <w:color w:val="auto"/>
          <w:szCs w:val="21"/>
          <w:highlight w:val="none"/>
        </w:rPr>
      </w:pPr>
      <w:r>
        <w:rPr>
          <w:rFonts w:hint="eastAsia"/>
          <w:color w:val="auto"/>
          <w:szCs w:val="21"/>
          <w:highlight w:val="none"/>
        </w:rPr>
        <w:t>双方约定可由发包人解除合同的其他事由：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由承包人解除合同</w:t>
      </w:r>
    </w:p>
    <w:p>
      <w:pPr>
        <w:snapToGrid w:val="0"/>
        <w:spacing w:line="360" w:lineRule="auto"/>
        <w:ind w:firstLine="420"/>
        <w:rPr>
          <w:color w:val="auto"/>
          <w:szCs w:val="21"/>
          <w:highlight w:val="none"/>
        </w:rPr>
      </w:pPr>
      <w:r>
        <w:rPr>
          <w:color w:val="auto"/>
          <w:szCs w:val="21"/>
          <w:highlight w:val="none"/>
        </w:rPr>
        <w:t xml:space="preserve">16.2.1 </w:t>
      </w:r>
      <w:r>
        <w:rPr>
          <w:rFonts w:hint="eastAsia"/>
          <w:color w:val="auto"/>
          <w:szCs w:val="21"/>
          <w:highlight w:val="none"/>
        </w:rPr>
        <w:t>因发包人违约解除合同</w:t>
      </w:r>
    </w:p>
    <w:p>
      <w:pPr>
        <w:snapToGrid w:val="0"/>
        <w:spacing w:line="360" w:lineRule="auto"/>
        <w:ind w:firstLine="420"/>
        <w:rPr>
          <w:color w:val="auto"/>
          <w:szCs w:val="21"/>
          <w:highlight w:val="none"/>
        </w:rPr>
      </w:pPr>
      <w:r>
        <w:rPr>
          <w:rFonts w:hint="eastAsia"/>
          <w:color w:val="auto"/>
          <w:szCs w:val="21"/>
          <w:highlight w:val="none"/>
        </w:rPr>
        <w:t>双方约定可由承包人解除合同的其他事由：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2" w:name="_Toc54862348"/>
      <w:r>
        <w:rPr>
          <w:rFonts w:hint="eastAsia"/>
          <w:color w:val="auto"/>
          <w:szCs w:val="21"/>
          <w:highlight w:val="none"/>
        </w:rPr>
        <w:t>第</w:t>
      </w:r>
      <w:r>
        <w:rPr>
          <w:color w:val="auto"/>
          <w:szCs w:val="21"/>
          <w:highlight w:val="none"/>
        </w:rPr>
        <w:t>17条</w:t>
      </w:r>
      <w:r>
        <w:rPr>
          <w:rFonts w:hint="eastAsia"/>
          <w:color w:val="auto"/>
          <w:szCs w:val="21"/>
          <w:highlight w:val="none"/>
        </w:rPr>
        <w:t xml:space="preserve"> 不可抗力</w:t>
      </w:r>
      <w:bookmarkEnd w:id="202"/>
    </w:p>
    <w:p>
      <w:pPr>
        <w:snapToGrid w:val="0"/>
        <w:spacing w:line="360" w:lineRule="auto"/>
        <w:ind w:firstLine="420"/>
        <w:rPr>
          <w:color w:val="auto"/>
          <w:szCs w:val="21"/>
          <w:highlight w:val="none"/>
        </w:rPr>
      </w:pPr>
      <w:r>
        <w:rPr>
          <w:color w:val="auto"/>
          <w:szCs w:val="21"/>
          <w:highlight w:val="none"/>
        </w:rPr>
        <w:t xml:space="preserve">17.1 </w:t>
      </w:r>
      <w:r>
        <w:rPr>
          <w:rFonts w:hint="eastAsia"/>
          <w:color w:val="auto"/>
          <w:szCs w:val="21"/>
          <w:highlight w:val="none"/>
        </w:rPr>
        <w:t>不可抗力的定义</w:t>
      </w:r>
    </w:p>
    <w:p>
      <w:pPr>
        <w:snapToGrid w:val="0"/>
        <w:spacing w:line="360" w:lineRule="auto"/>
        <w:ind w:firstLine="420"/>
        <w:rPr>
          <w:color w:val="auto"/>
          <w:szCs w:val="21"/>
          <w:highlight w:val="none"/>
        </w:rPr>
      </w:pPr>
      <w:r>
        <w:rPr>
          <w:color w:val="auto"/>
          <w:szCs w:val="21"/>
          <w:highlight w:val="none"/>
        </w:rPr>
        <w:t>除通用合同条件约定的不可抗力事件之外，视为不可抗力的其他情形：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17.6 </w:t>
      </w:r>
      <w:r>
        <w:rPr>
          <w:rFonts w:hint="eastAsia"/>
          <w:color w:val="auto"/>
          <w:szCs w:val="21"/>
          <w:highlight w:val="none"/>
        </w:rPr>
        <w:t>因不可抗力解除合同</w:t>
      </w:r>
    </w:p>
    <w:p>
      <w:pPr>
        <w:snapToGrid w:val="0"/>
        <w:spacing w:line="360" w:lineRule="auto"/>
        <w:ind w:firstLine="420"/>
        <w:rPr>
          <w:color w:val="auto"/>
          <w:szCs w:val="21"/>
          <w:highlight w:val="none"/>
        </w:rPr>
      </w:pPr>
      <w:r>
        <w:rPr>
          <w:color w:val="auto"/>
          <w:szCs w:val="21"/>
          <w:highlight w:val="none"/>
        </w:rPr>
        <w:t>合同解除后，发包人应</w:t>
      </w:r>
      <w:r>
        <w:rPr>
          <w:rFonts w:hint="eastAsia"/>
          <w:color w:val="auto"/>
          <w:szCs w:val="21"/>
          <w:highlight w:val="none"/>
        </w:rPr>
        <w:t>当</w:t>
      </w:r>
      <w:r>
        <w:rPr>
          <w:color w:val="auto"/>
          <w:szCs w:val="21"/>
          <w:highlight w:val="none"/>
        </w:rPr>
        <w:t>在商定或确定发包人应支付款项后</w:t>
      </w:r>
      <w:r>
        <w:rPr>
          <w:rFonts w:hint="eastAsia"/>
          <w:color w:val="auto"/>
          <w:szCs w:val="21"/>
          <w:highlight w:val="none"/>
        </w:rPr>
        <w:t>的</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天内完成款项的支付。</w:t>
      </w:r>
    </w:p>
    <w:p>
      <w:pPr>
        <w:spacing w:line="300" w:lineRule="auto"/>
        <w:ind w:left="630" w:hanging="630" w:hangingChars="300"/>
        <w:rPr>
          <w:color w:val="auto"/>
          <w:szCs w:val="21"/>
          <w:highlight w:val="none"/>
        </w:rPr>
      </w:pPr>
      <w:bookmarkStart w:id="203" w:name="_Toc4784276"/>
      <w:bookmarkEnd w:id="203"/>
      <w:bookmarkStart w:id="204" w:name="_Toc4784277"/>
      <w:bookmarkEnd w:id="204"/>
      <w:bookmarkStart w:id="205" w:name="_Toc54862349"/>
      <w:r>
        <w:rPr>
          <w:rFonts w:hint="eastAsia"/>
          <w:color w:val="auto"/>
          <w:szCs w:val="21"/>
          <w:highlight w:val="none"/>
        </w:rPr>
        <w:t>第1</w:t>
      </w:r>
      <w:r>
        <w:rPr>
          <w:color w:val="auto"/>
          <w:szCs w:val="21"/>
          <w:highlight w:val="none"/>
        </w:rPr>
        <w:t>8</w:t>
      </w:r>
      <w:r>
        <w:rPr>
          <w:rFonts w:hint="eastAsia"/>
          <w:color w:val="auto"/>
          <w:szCs w:val="21"/>
          <w:highlight w:val="none"/>
        </w:rPr>
        <w:t>条</w:t>
      </w:r>
      <w:r>
        <w:rPr>
          <w:color w:val="auto"/>
          <w:szCs w:val="21"/>
          <w:highlight w:val="none"/>
        </w:rPr>
        <w:t xml:space="preserve"> </w:t>
      </w:r>
      <w:r>
        <w:rPr>
          <w:rFonts w:hint="eastAsia"/>
          <w:color w:val="auto"/>
          <w:szCs w:val="21"/>
          <w:highlight w:val="none"/>
        </w:rPr>
        <w:t>保险</w:t>
      </w:r>
      <w:bookmarkEnd w:id="205"/>
    </w:p>
    <w:p>
      <w:pPr>
        <w:snapToGrid w:val="0"/>
        <w:spacing w:line="360" w:lineRule="auto"/>
        <w:ind w:firstLine="420"/>
        <w:rPr>
          <w:color w:val="auto"/>
          <w:szCs w:val="21"/>
          <w:highlight w:val="none"/>
        </w:rPr>
      </w:pPr>
      <w:r>
        <w:rPr>
          <w:color w:val="auto"/>
          <w:szCs w:val="21"/>
          <w:highlight w:val="none"/>
        </w:rPr>
        <w:t xml:space="preserve">18.1 </w:t>
      </w:r>
      <w:r>
        <w:rPr>
          <w:rFonts w:hint="eastAsia"/>
          <w:color w:val="auto"/>
          <w:szCs w:val="21"/>
          <w:highlight w:val="none"/>
        </w:rPr>
        <w:t>设计和工程保险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8.1.1 </w:t>
      </w:r>
      <w:r>
        <w:rPr>
          <w:rFonts w:hint="eastAsia"/>
          <w:color w:val="auto"/>
          <w:szCs w:val="21"/>
          <w:highlight w:val="none"/>
        </w:rPr>
        <w:t>双方当事人</w:t>
      </w:r>
      <w:r>
        <w:rPr>
          <w:color w:val="auto"/>
          <w:szCs w:val="21"/>
          <w:highlight w:val="none"/>
        </w:rPr>
        <w:t>关于</w:t>
      </w:r>
      <w:r>
        <w:rPr>
          <w:rFonts w:hint="eastAsia"/>
          <w:color w:val="auto"/>
          <w:szCs w:val="21"/>
          <w:highlight w:val="none"/>
        </w:rPr>
        <w:t>设计和工程保险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8.1.2 </w:t>
      </w:r>
      <w:r>
        <w:rPr>
          <w:rFonts w:hint="eastAsia"/>
          <w:color w:val="auto"/>
          <w:szCs w:val="21"/>
          <w:highlight w:val="none"/>
        </w:rPr>
        <w:t>双方当事人</w:t>
      </w:r>
      <w:r>
        <w:rPr>
          <w:color w:val="auto"/>
          <w:szCs w:val="21"/>
          <w:highlight w:val="none"/>
        </w:rPr>
        <w:t>关于</w:t>
      </w:r>
      <w:r>
        <w:rPr>
          <w:rFonts w:hint="eastAsia"/>
          <w:color w:val="auto"/>
          <w:szCs w:val="21"/>
          <w:highlight w:val="none"/>
        </w:rPr>
        <w:t>第三方责任险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18.2 </w:t>
      </w:r>
      <w:r>
        <w:rPr>
          <w:rFonts w:hint="eastAsia"/>
          <w:color w:val="auto"/>
          <w:szCs w:val="21"/>
          <w:highlight w:val="none"/>
        </w:rPr>
        <w:t>工伤和意外伤害保险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8.2.3 关于</w:t>
      </w:r>
      <w:r>
        <w:rPr>
          <w:rFonts w:hint="eastAsia"/>
          <w:color w:val="auto"/>
          <w:szCs w:val="21"/>
          <w:highlight w:val="none"/>
        </w:rPr>
        <w:t>工伤保险和意外伤害保险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18.3 </w:t>
      </w:r>
      <w:r>
        <w:rPr>
          <w:rFonts w:hint="eastAsia"/>
          <w:color w:val="auto"/>
          <w:szCs w:val="21"/>
          <w:highlight w:val="none"/>
        </w:rPr>
        <w:t>货物保险</w:t>
      </w:r>
    </w:p>
    <w:p>
      <w:pPr>
        <w:snapToGrid w:val="0"/>
        <w:spacing w:line="360" w:lineRule="auto"/>
        <w:ind w:firstLine="420"/>
        <w:rPr>
          <w:color w:val="auto"/>
          <w:szCs w:val="21"/>
          <w:highlight w:val="none"/>
        </w:rPr>
      </w:pPr>
      <w:r>
        <w:rPr>
          <w:rFonts w:hint="eastAsia"/>
          <w:color w:val="auto"/>
          <w:szCs w:val="21"/>
          <w:highlight w:val="none"/>
        </w:rPr>
        <w:t>关于承包人应为其施工设备、材料、工程设备和临时工程等办理财产</w:t>
      </w:r>
      <w:r>
        <w:rPr>
          <w:color w:val="auto"/>
          <w:szCs w:val="21"/>
          <w:highlight w:val="none"/>
        </w:rPr>
        <w:t>保险的特别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18.4 </w:t>
      </w:r>
      <w:r>
        <w:rPr>
          <w:rFonts w:hint="eastAsia"/>
          <w:color w:val="auto"/>
          <w:szCs w:val="21"/>
          <w:highlight w:val="none"/>
        </w:rPr>
        <w:t>其他保险</w:t>
      </w:r>
    </w:p>
    <w:p>
      <w:pPr>
        <w:snapToGrid w:val="0"/>
        <w:spacing w:line="360" w:lineRule="auto"/>
        <w:ind w:firstLine="420"/>
        <w:rPr>
          <w:color w:val="auto"/>
          <w:szCs w:val="21"/>
          <w:highlight w:val="none"/>
        </w:rPr>
      </w:pPr>
      <w:r>
        <w:rPr>
          <w:rFonts w:hint="eastAsia"/>
          <w:color w:val="auto"/>
          <w:szCs w:val="21"/>
          <w:highlight w:val="none"/>
        </w:rPr>
        <w:t>关于其他保险的约定：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18.5 </w:t>
      </w:r>
      <w:r>
        <w:rPr>
          <w:rFonts w:hint="eastAsia"/>
          <w:color w:val="auto"/>
          <w:szCs w:val="21"/>
          <w:highlight w:val="none"/>
        </w:rPr>
        <w:t>对各项保险的一般要求</w:t>
      </w:r>
    </w:p>
    <w:p>
      <w:pPr>
        <w:snapToGrid w:val="0"/>
        <w:spacing w:line="360" w:lineRule="auto"/>
        <w:ind w:firstLine="420"/>
        <w:rPr>
          <w:color w:val="auto"/>
          <w:szCs w:val="21"/>
          <w:highlight w:val="none"/>
        </w:rPr>
      </w:pPr>
      <w:r>
        <w:rPr>
          <w:color w:val="auto"/>
          <w:szCs w:val="21"/>
          <w:highlight w:val="none"/>
        </w:rPr>
        <w:t>18.5.2 保险凭证</w:t>
      </w:r>
    </w:p>
    <w:p>
      <w:pPr>
        <w:snapToGrid w:val="0"/>
        <w:spacing w:line="360" w:lineRule="auto"/>
        <w:ind w:firstLine="420"/>
        <w:rPr>
          <w:color w:val="auto"/>
          <w:szCs w:val="21"/>
          <w:highlight w:val="none"/>
        </w:rPr>
      </w:pPr>
      <w:r>
        <w:rPr>
          <w:rFonts w:hint="eastAsia"/>
          <w:color w:val="auto"/>
          <w:szCs w:val="21"/>
          <w:highlight w:val="none"/>
        </w:rPr>
        <w:t>保险单的条件：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18.5.4 通知义务</w:t>
      </w:r>
    </w:p>
    <w:p>
      <w:pPr>
        <w:snapToGrid w:val="0"/>
        <w:spacing w:line="360" w:lineRule="auto"/>
        <w:ind w:firstLine="420"/>
        <w:rPr>
          <w:color w:val="auto"/>
          <w:szCs w:val="21"/>
          <w:highlight w:val="none"/>
        </w:rPr>
      </w:pPr>
      <w:r>
        <w:rPr>
          <w:rFonts w:hint="eastAsia"/>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6" w:name="_Toc54862350"/>
      <w:r>
        <w:rPr>
          <w:rFonts w:hint="eastAsia"/>
          <w:color w:val="auto"/>
          <w:szCs w:val="21"/>
          <w:highlight w:val="none"/>
        </w:rPr>
        <w:t>第</w:t>
      </w:r>
      <w:r>
        <w:rPr>
          <w:color w:val="auto"/>
          <w:szCs w:val="21"/>
          <w:highlight w:val="none"/>
        </w:rPr>
        <w:t>20条</w:t>
      </w:r>
      <w:r>
        <w:rPr>
          <w:rFonts w:hint="eastAsia"/>
          <w:color w:val="auto"/>
          <w:szCs w:val="21"/>
          <w:highlight w:val="none"/>
        </w:rPr>
        <w:t xml:space="preserve"> 争议解决</w:t>
      </w:r>
      <w:bookmarkEnd w:id="206"/>
    </w:p>
    <w:p>
      <w:pPr>
        <w:snapToGrid w:val="0"/>
        <w:spacing w:line="360" w:lineRule="auto"/>
        <w:ind w:firstLine="420"/>
        <w:rPr>
          <w:color w:val="auto"/>
          <w:szCs w:val="21"/>
          <w:highlight w:val="none"/>
        </w:rPr>
      </w:pPr>
      <w:r>
        <w:rPr>
          <w:color w:val="auto"/>
          <w:szCs w:val="21"/>
          <w:highlight w:val="none"/>
        </w:rPr>
        <w:t xml:space="preserve">20.3 </w:t>
      </w:r>
      <w:r>
        <w:rPr>
          <w:rFonts w:hint="eastAsia"/>
          <w:color w:val="auto"/>
          <w:szCs w:val="21"/>
          <w:highlight w:val="none"/>
        </w:rPr>
        <w:t>争议评审</w:t>
      </w:r>
    </w:p>
    <w:p>
      <w:pPr>
        <w:snapToGrid w:val="0"/>
        <w:spacing w:line="360" w:lineRule="auto"/>
        <w:ind w:firstLine="420"/>
        <w:rPr>
          <w:color w:val="auto"/>
          <w:szCs w:val="21"/>
          <w:highlight w:val="none"/>
        </w:rPr>
      </w:pPr>
      <w:r>
        <w:rPr>
          <w:rFonts w:hint="eastAsia"/>
          <w:color w:val="auto"/>
          <w:szCs w:val="21"/>
          <w:highlight w:val="none"/>
        </w:rPr>
        <w:t xml:space="preserve">合同当事人是否同意将工程争议提交争议评审小组决定：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20.3.1</w:t>
      </w:r>
      <w:r>
        <w:rPr>
          <w:rFonts w:hint="eastAsia"/>
          <w:color w:val="auto"/>
          <w:szCs w:val="21"/>
          <w:highlight w:val="none"/>
        </w:rPr>
        <w:t xml:space="preserve"> 争议评审小组</w:t>
      </w:r>
      <w:r>
        <w:rPr>
          <w:color w:val="auto"/>
          <w:szCs w:val="21"/>
          <w:highlight w:val="none"/>
        </w:rPr>
        <w:t>的确定</w:t>
      </w:r>
    </w:p>
    <w:p>
      <w:pPr>
        <w:snapToGrid w:val="0"/>
        <w:spacing w:line="360" w:lineRule="auto"/>
        <w:ind w:firstLine="420"/>
        <w:rPr>
          <w:color w:val="auto"/>
          <w:szCs w:val="21"/>
          <w:highlight w:val="none"/>
        </w:rPr>
      </w:pPr>
      <w:r>
        <w:rPr>
          <w:rFonts w:hint="eastAsia"/>
          <w:color w:val="auto"/>
          <w:szCs w:val="21"/>
          <w:highlight w:val="none"/>
        </w:rPr>
        <w:t>争议评审小组成员的人数：</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争议评审小组成员的确定：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选定争议避免/评审组的期限：</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评审机构：</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其他事项的约定：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争议评审员报酬</w:t>
      </w:r>
      <w:r>
        <w:rPr>
          <w:rFonts w:hint="eastAsia"/>
          <w:color w:val="auto"/>
          <w:szCs w:val="21"/>
          <w:highlight w:val="none"/>
        </w:rPr>
        <w:t>的承担人：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20.3.2 争议的避免</w:t>
      </w:r>
    </w:p>
    <w:p>
      <w:pPr>
        <w:snapToGrid w:val="0"/>
        <w:spacing w:line="360" w:lineRule="auto"/>
        <w:ind w:firstLine="420"/>
        <w:rPr>
          <w:color w:val="auto"/>
          <w:szCs w:val="21"/>
          <w:highlight w:val="none"/>
        </w:rPr>
      </w:pPr>
      <w:r>
        <w:rPr>
          <w:rFonts w:hint="eastAsia"/>
          <w:color w:val="auto"/>
          <w:szCs w:val="21"/>
          <w:highlight w:val="none"/>
        </w:rPr>
        <w:t>发包人和承包人是否均出席争议避免的非正式讨论：</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20.3.3</w:t>
      </w:r>
      <w:r>
        <w:rPr>
          <w:rFonts w:hint="eastAsia"/>
          <w:color w:val="auto"/>
          <w:szCs w:val="21"/>
          <w:highlight w:val="none"/>
        </w:rPr>
        <w:t xml:space="preserve"> 争议评审小组的决定</w:t>
      </w:r>
    </w:p>
    <w:p>
      <w:pPr>
        <w:snapToGrid w:val="0"/>
        <w:spacing w:line="360" w:lineRule="auto"/>
        <w:ind w:firstLine="420"/>
        <w:rPr>
          <w:color w:val="auto"/>
          <w:szCs w:val="21"/>
          <w:highlight w:val="none"/>
        </w:rPr>
      </w:pPr>
      <w:r>
        <w:rPr>
          <w:rFonts w:hint="eastAsia"/>
          <w:color w:val="auto"/>
          <w:szCs w:val="21"/>
          <w:highlight w:val="none"/>
        </w:rPr>
        <w:t>关于争议评审小组的决定的特别约定：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20.4 </w:t>
      </w:r>
      <w:r>
        <w:rPr>
          <w:rFonts w:hint="eastAsia"/>
          <w:color w:val="auto"/>
          <w:szCs w:val="21"/>
          <w:highlight w:val="none"/>
        </w:rPr>
        <w:t>仲裁或诉讼</w:t>
      </w:r>
    </w:p>
    <w:p>
      <w:pPr>
        <w:snapToGrid w:val="0"/>
        <w:spacing w:line="360" w:lineRule="auto"/>
        <w:ind w:firstLine="420"/>
        <w:rPr>
          <w:color w:val="auto"/>
          <w:szCs w:val="21"/>
          <w:highlight w:val="none"/>
        </w:rPr>
      </w:pPr>
      <w:r>
        <w:rPr>
          <w:rFonts w:hint="eastAsia"/>
          <w:color w:val="auto"/>
          <w:szCs w:val="21"/>
          <w:highlight w:val="none"/>
        </w:rPr>
        <w:t>因合同及合同有关事项发生的争议，按下列第</w:t>
      </w:r>
      <w:r>
        <w:rPr>
          <w:color w:val="auto"/>
          <w:szCs w:val="21"/>
          <w:highlight w:val="none"/>
          <w:u w:val="single"/>
        </w:rPr>
        <w:t xml:space="preserve">    </w:t>
      </w:r>
      <w:r>
        <w:rPr>
          <w:color w:val="auto"/>
          <w:szCs w:val="21"/>
          <w:highlight w:val="none"/>
        </w:rPr>
        <w:t>种方式解决：</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1）向</w:t>
      </w:r>
      <w:r>
        <w:rPr>
          <w:color w:val="auto"/>
          <w:szCs w:val="21"/>
          <w:highlight w:val="none"/>
          <w:u w:val="single"/>
        </w:rPr>
        <w:t xml:space="preserve">                         </w:t>
      </w:r>
      <w:r>
        <w:rPr>
          <w:color w:val="auto"/>
          <w:szCs w:val="21"/>
          <w:highlight w:val="none"/>
        </w:rPr>
        <w:t>仲裁委员会申请仲裁；</w:t>
      </w:r>
    </w:p>
    <w:p>
      <w:pPr>
        <w:snapToGrid w:val="0"/>
        <w:spacing w:line="360" w:lineRule="auto"/>
        <w:ind w:firstLine="420"/>
        <w:rPr>
          <w:rFonts w:hint="eastAsia"/>
          <w:color w:val="auto"/>
          <w:szCs w:val="21"/>
          <w:highlight w:val="none"/>
        </w:rPr>
      </w:pPr>
      <w:r>
        <w:rPr>
          <w:rFonts w:hint="eastAsia"/>
          <w:color w:val="auto"/>
          <w:szCs w:val="21"/>
          <w:highlight w:val="none"/>
        </w:rPr>
        <w:t>（</w:t>
      </w:r>
      <w:r>
        <w:rPr>
          <w:color w:val="auto"/>
          <w:szCs w:val="21"/>
          <w:highlight w:val="none"/>
        </w:rPr>
        <w:t>2）向</w:t>
      </w:r>
      <w:r>
        <w:rPr>
          <w:color w:val="auto"/>
          <w:szCs w:val="21"/>
          <w:highlight w:val="none"/>
          <w:u w:val="single"/>
        </w:rPr>
        <w:t xml:space="preserve">                         </w:t>
      </w:r>
      <w:r>
        <w:rPr>
          <w:color w:val="auto"/>
          <w:szCs w:val="21"/>
          <w:highlight w:val="none"/>
        </w:rPr>
        <w:t>人民法院起诉。</w:t>
      </w:r>
    </w:p>
    <w:p>
      <w:pPr>
        <w:snapToGrid w:val="0"/>
        <w:spacing w:line="360" w:lineRule="auto"/>
        <w:ind w:firstLine="420"/>
        <w:rPr>
          <w:color w:val="auto"/>
          <w:szCs w:val="21"/>
          <w:highlight w:val="none"/>
        </w:rPr>
      </w:pPr>
    </w:p>
    <w:p>
      <w:pPr>
        <w:snapToGrid w:val="0"/>
        <w:spacing w:line="360" w:lineRule="auto"/>
        <w:ind w:firstLine="600"/>
        <w:rPr>
          <w:rFonts w:ascii="仿宋_GB2312" w:eastAsia="仿宋_GB2312"/>
          <w:color w:val="auto"/>
          <w:sz w:val="30"/>
          <w:szCs w:val="30"/>
          <w:highlight w:val="none"/>
        </w:rPr>
        <w:sectPr>
          <w:headerReference r:id="rId10" w:type="default"/>
          <w:pgSz w:w="11906" w:h="16838"/>
          <w:pgMar w:top="1440" w:right="1800" w:bottom="1440" w:left="1800" w:header="850" w:footer="1020" w:gutter="0"/>
          <w:cols w:space="720" w:num="1"/>
          <w:docGrid w:linePitch="326" w:charSpace="0"/>
        </w:sectPr>
      </w:pPr>
    </w:p>
    <w:p>
      <w:pPr>
        <w:pStyle w:val="197"/>
        <w:keepNext w:val="0"/>
        <w:keepLines w:val="0"/>
        <w:widowControl/>
        <w:adjustRightInd w:val="0"/>
        <w:snapToGrid w:val="0"/>
        <w:spacing w:before="0" w:after="50" w:line="360" w:lineRule="auto"/>
        <w:jc w:val="center"/>
        <w:rPr>
          <w:color w:val="auto"/>
          <w:sz w:val="32"/>
          <w:szCs w:val="32"/>
          <w:highlight w:val="none"/>
        </w:rPr>
      </w:pPr>
      <w:bookmarkStart w:id="207" w:name="_Toc54862351"/>
      <w:r>
        <w:rPr>
          <w:rFonts w:hint="eastAsia"/>
          <w:color w:val="auto"/>
          <w:sz w:val="32"/>
          <w:szCs w:val="32"/>
          <w:highlight w:val="none"/>
        </w:rPr>
        <w:t>专用合同条件附件</w:t>
      </w:r>
      <w:bookmarkEnd w:id="207"/>
    </w:p>
    <w:p>
      <w:pPr>
        <w:spacing w:line="300" w:lineRule="auto"/>
        <w:ind w:left="630" w:hanging="630" w:hangingChars="300"/>
        <w:rPr>
          <w:color w:val="auto"/>
          <w:szCs w:val="21"/>
          <w:highlight w:val="none"/>
        </w:rPr>
      </w:pPr>
    </w:p>
    <w:p>
      <w:pPr>
        <w:snapToGrid w:val="0"/>
        <w:spacing w:line="360" w:lineRule="auto"/>
        <w:ind w:left="720" w:hanging="720" w:hangingChars="300"/>
        <w:rPr>
          <w:color w:val="auto"/>
          <w:sz w:val="24"/>
          <w:highlight w:val="none"/>
        </w:rPr>
      </w:pPr>
      <w:r>
        <w:rPr>
          <w:rFonts w:hint="eastAsia"/>
          <w:color w:val="auto"/>
          <w:sz w:val="24"/>
          <w:highlight w:val="none"/>
        </w:rPr>
        <w:t>附件1：发包人要求</w:t>
      </w:r>
    </w:p>
    <w:p>
      <w:pPr>
        <w:snapToGrid w:val="0"/>
        <w:spacing w:line="360" w:lineRule="auto"/>
        <w:ind w:left="720" w:hanging="720" w:hangingChars="300"/>
        <w:rPr>
          <w:color w:val="auto"/>
          <w:sz w:val="24"/>
          <w:highlight w:val="none"/>
        </w:rPr>
      </w:pPr>
      <w:r>
        <w:rPr>
          <w:rFonts w:hint="eastAsia"/>
          <w:color w:val="auto"/>
          <w:sz w:val="24"/>
          <w:highlight w:val="none"/>
        </w:rPr>
        <w:t>附件2：发包人供应材料设备一览表</w:t>
      </w:r>
    </w:p>
    <w:p>
      <w:pPr>
        <w:snapToGrid w:val="0"/>
        <w:spacing w:line="360" w:lineRule="auto"/>
        <w:ind w:left="720" w:hanging="720" w:hangingChars="300"/>
        <w:rPr>
          <w:color w:val="auto"/>
          <w:sz w:val="24"/>
          <w:highlight w:val="none"/>
        </w:rPr>
      </w:pPr>
      <w:r>
        <w:rPr>
          <w:rFonts w:hint="eastAsia"/>
          <w:color w:val="auto"/>
          <w:sz w:val="24"/>
          <w:highlight w:val="none"/>
        </w:rPr>
        <w:t>附件3：工程质量保修书</w:t>
      </w:r>
    </w:p>
    <w:p>
      <w:pPr>
        <w:snapToGrid w:val="0"/>
        <w:spacing w:line="360" w:lineRule="auto"/>
        <w:ind w:left="720" w:hanging="720" w:hangingChars="300"/>
        <w:rPr>
          <w:color w:val="auto"/>
          <w:sz w:val="24"/>
          <w:highlight w:val="none"/>
        </w:rPr>
      </w:pPr>
      <w:r>
        <w:rPr>
          <w:rFonts w:hint="eastAsia"/>
          <w:color w:val="auto"/>
          <w:sz w:val="24"/>
          <w:highlight w:val="none"/>
        </w:rPr>
        <w:t>附件4：主要建设工程文件目录</w:t>
      </w:r>
    </w:p>
    <w:p>
      <w:pPr>
        <w:snapToGrid w:val="0"/>
        <w:spacing w:line="360" w:lineRule="auto"/>
        <w:ind w:left="720" w:hanging="720" w:hangingChars="300"/>
        <w:rPr>
          <w:color w:val="auto"/>
          <w:sz w:val="24"/>
          <w:highlight w:val="none"/>
        </w:rPr>
      </w:pPr>
      <w:r>
        <w:rPr>
          <w:rFonts w:hint="eastAsia"/>
          <w:color w:val="auto"/>
          <w:sz w:val="24"/>
          <w:highlight w:val="none"/>
        </w:rPr>
        <w:t>附件5：承包人主要管理人员表</w:t>
      </w:r>
    </w:p>
    <w:p>
      <w:pPr>
        <w:snapToGrid w:val="0"/>
        <w:spacing w:line="360" w:lineRule="auto"/>
        <w:ind w:left="720" w:hanging="720" w:hangingChars="300"/>
        <w:rPr>
          <w:color w:val="auto"/>
          <w:sz w:val="24"/>
          <w:highlight w:val="none"/>
        </w:rPr>
      </w:pPr>
      <w:r>
        <w:rPr>
          <w:rFonts w:hint="eastAsia"/>
          <w:color w:val="auto"/>
          <w:sz w:val="24"/>
          <w:highlight w:val="none"/>
        </w:rPr>
        <w:t>附件</w:t>
      </w:r>
      <w:r>
        <w:rPr>
          <w:color w:val="auto"/>
          <w:sz w:val="24"/>
          <w:highlight w:val="none"/>
        </w:rPr>
        <w:t>6</w:t>
      </w:r>
      <w:r>
        <w:rPr>
          <w:rFonts w:hint="eastAsia"/>
          <w:color w:val="auto"/>
          <w:sz w:val="24"/>
          <w:highlight w:val="none"/>
        </w:rPr>
        <w:t>：价格指数权重表</w:t>
      </w:r>
    </w:p>
    <w:p>
      <w:pPr>
        <w:snapToGrid w:val="0"/>
        <w:spacing w:line="360" w:lineRule="auto"/>
        <w:rPr>
          <w:rFonts w:ascii="宋体" w:hAnsi="宋体"/>
          <w:color w:val="auto"/>
          <w:sz w:val="24"/>
          <w:highlight w:val="none"/>
        </w:rPr>
      </w:pPr>
    </w:p>
    <w:p>
      <w:pPr>
        <w:spacing w:line="360" w:lineRule="auto"/>
        <w:jc w:val="center"/>
        <w:rPr>
          <w:rFonts w:ascii="仿宋" w:hAnsi="仿宋" w:eastAsia="仿宋"/>
          <w:color w:val="auto"/>
          <w:sz w:val="32"/>
          <w:szCs w:val="32"/>
          <w:highlight w:val="none"/>
        </w:rPr>
      </w:pPr>
      <w:r>
        <w:rPr>
          <w:rFonts w:ascii="宋体" w:hAnsi="宋体"/>
          <w:color w:val="auto"/>
          <w:sz w:val="24"/>
          <w:highlight w:val="none"/>
        </w:rPr>
        <w:br w:type="page"/>
      </w:r>
      <w:r>
        <w:rPr>
          <w:rFonts w:hint="eastAsia" w:ascii="黑体" w:hAnsi="黑体" w:eastAsia="黑体" w:cs="Times New Roman"/>
          <w:color w:val="auto"/>
          <w:sz w:val="32"/>
          <w:szCs w:val="32"/>
          <w:highlight w:val="none"/>
        </w:rPr>
        <w:t>附件1 《发包人要求》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《发包人要求》通常包括但不限于以下内容：</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一、功能要求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（一）工程目的。</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（二）工程规模。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（三）性能保证指标（性能保证表）。</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（四）产能保证指标。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（一）概述</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（二）包括的工作</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永久工程的设计、采购、施工范围。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临时工程的设计与施工范围。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竣工验收工作范围。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技术服务工作范围。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 培训工作范围。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 保修工作范围。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（三）工作界区</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（四）发包人提供的现场条件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施工用电。</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施工用水。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施工排水。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施工道路。</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（五）发包人提供的技术文件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除另有批准外，承包人的工作需要遵照发包人的下列技术文件: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发包人需求任务书。</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发包人已完成的设计文件。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三、工艺安排或要求（如有）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（一）开始工作时间。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（二）设计完成时间。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（三）进度计划。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（五）缺陷责任期。</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五、技术要求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（一）设计阶段和设计任务。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（二）设计标准和规范。</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（三）技术标准和要求。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（四）质量标准。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（五）设计、施工和设备监造、试验（如有）。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（六）样品。</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六、竣工试验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（一）第一阶段，如对单车试验等的要求，包括试验前准备。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（二）第二阶段，如对联动试车、投料试车等的要求，包括人员、设备、材料、燃料、电力、消耗品、工具等必要条件。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（三）第三阶段，如对性能测试及其他竣工试验的要求，包括产能指标、产品质量标准、运营指标、环保指标等。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七、竣工验收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八、竣工后试验（如有）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九、文件要求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（一）设计文件，及其相关审批、核准、备案要求。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（二）沟通计划。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（三）风险管理计划。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（四）竣工文件和工程的其他记录。</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（五）操作和维修手册。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（六）其他承包人文件。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十、工程项目管理规定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（一）质量。</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（二）进度，包括里程碑进度计划（如果有）。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（三）支付。</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（四）HSE（健康、安全与环境管理体系）。</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（五）沟通。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（六）变更。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十一、其他要求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（一）对承包人的主要人员资格要求。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（二）相关审批、核准和备案手续的办理。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（三）对项目业主人员的操作培训。</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（四）分包。</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（五）设备供应商。</w:t>
      </w:r>
    </w:p>
    <w:p>
      <w:pPr>
        <w:snapToGrid w:val="0"/>
        <w:spacing w:line="360" w:lineRule="auto"/>
        <w:ind w:left="0"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（六）缺陷责任期的服务要求。</w:t>
      </w:r>
    </w:p>
    <w:p>
      <w:pPr>
        <w:spacing w:line="360" w:lineRule="auto"/>
        <w:jc w:val="center"/>
        <w:rPr>
          <w:rFonts w:ascii="仿宋" w:hAnsi="仿宋" w:eastAsia="仿宋"/>
          <w:color w:val="auto"/>
          <w:sz w:val="32"/>
          <w:szCs w:val="32"/>
          <w:highlight w:val="none"/>
        </w:rPr>
      </w:pPr>
      <w:r>
        <w:rPr>
          <w:rFonts w:ascii="仿宋" w:hAnsi="仿宋" w:eastAsia="仿宋"/>
          <w:color w:val="auto"/>
          <w:highlight w:val="none"/>
        </w:rPr>
        <w:br w:type="page"/>
      </w:r>
      <w:r>
        <w:rPr>
          <w:rFonts w:hint="eastAsia" w:ascii="黑体" w:hAnsi="黑体" w:eastAsia="黑体" w:cs="Times New Roman"/>
          <w:color w:val="auto"/>
          <w:sz w:val="32"/>
          <w:szCs w:val="32"/>
          <w:highlight w:val="none"/>
        </w:rPr>
        <w:t>附件2 发包人供应材料设备一览表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序号</w:t>
            </w:r>
          </w:p>
        </w:tc>
        <w:tc>
          <w:tcPr>
            <w:tcW w:w="1165"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材料、设备品种</w:t>
            </w:r>
          </w:p>
        </w:tc>
        <w:tc>
          <w:tcPr>
            <w:tcW w:w="112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规格型号</w:t>
            </w:r>
          </w:p>
        </w:tc>
        <w:tc>
          <w:tcPr>
            <w:tcW w:w="567"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单位</w:t>
            </w:r>
          </w:p>
        </w:tc>
        <w:tc>
          <w:tcPr>
            <w:tcW w:w="68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数量</w:t>
            </w:r>
          </w:p>
        </w:tc>
        <w:tc>
          <w:tcPr>
            <w:tcW w:w="99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单价（元）</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质量等级</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供应时间</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送达地点</w:t>
            </w:r>
          </w:p>
        </w:tc>
        <w:tc>
          <w:tcPr>
            <w:tcW w:w="709"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double" w:color="auto" w:sz="6" w:space="0"/>
              <w:bottom w:val="single" w:color="auto" w:sz="6" w:space="0"/>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nil"/>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附件3 工程质量保修书</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（工程全称）订立工程质量保修书。</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缺陷责任期终止后，发包人应返还剩余的质量保证金。</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工程质量保修书由发包人、承包人在工程竣工验收前共同签署，作为工程总承包合同附件，其有效期限至保修期满。</w:t>
      </w:r>
    </w:p>
    <w:p>
      <w:pPr>
        <w:snapToGrid w:val="0"/>
        <w:spacing w:line="360" w:lineRule="auto"/>
        <w:ind w:firstLine="420"/>
        <w:rPr>
          <w:rFonts w:hint="eastAsia" w:ascii="宋体" w:hAnsi="宋体" w:eastAsia="宋体" w:cs="宋体"/>
          <w:color w:val="auto"/>
          <w:szCs w:val="21"/>
          <w:highlight w:val="none"/>
        </w:rPr>
      </w:pP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发包人(公章)：               承包人(公章)：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地  址：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           法定代表人(签字)：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委托代理人(签字)：           委托代理人(签字)：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传  真：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  号：                     账  号：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邮政编码：   </w:t>
      </w:r>
    </w:p>
    <w:p>
      <w:pPr>
        <w:snapToGrid w:val="0"/>
        <w:spacing w:line="360" w:lineRule="auto"/>
        <w:jc w:val="left"/>
        <w:rPr>
          <w:rFonts w:ascii="仿宋" w:hAnsi="仿宋" w:eastAsia="仿宋"/>
          <w:color w:val="auto"/>
          <w:sz w:val="30"/>
          <w:szCs w:val="30"/>
          <w:highlight w:val="none"/>
        </w:rPr>
        <w:sectPr>
          <w:headerReference r:id="rId11" w:type="default"/>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附件4 主要建设工程文件目录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文件名称</w:t>
            </w:r>
          </w:p>
        </w:tc>
        <w:tc>
          <w:tcPr>
            <w:tcW w:w="1276"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套数</w:t>
            </w:r>
          </w:p>
        </w:tc>
        <w:tc>
          <w:tcPr>
            <w:tcW w:w="1450"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费用（元）</w:t>
            </w:r>
          </w:p>
        </w:tc>
        <w:tc>
          <w:tcPr>
            <w:tcW w:w="1243"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w:t>
            </w: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移交时间</w:t>
            </w: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jc w:val="center"/>
        <w:rPr>
          <w:rFonts w:hint="eastAsia" w:ascii="仿宋" w:hAnsi="仿宋" w:eastAsia="仿宋"/>
          <w:color w:val="auto"/>
          <w:sz w:val="32"/>
          <w:szCs w:val="32"/>
          <w:highlight w:val="none"/>
        </w:rPr>
        <w:sectPr>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附件5 承包人主要管理人员表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项目主管</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工程总承包</w:t>
            </w:r>
          </w:p>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项目副经理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造价管理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vMerge w:val="restart"/>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38"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3951"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bl>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附件6 价格指数权重表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35"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70"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变更权重B</w:t>
            </w: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基本价格指数F0</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70"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指数</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值</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F01</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F02</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F03</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F04</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定值部分权重A</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pPr>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p>
    <w:p>
      <w:pPr>
        <w:snapToGrid w:val="0"/>
        <w:spacing w:line="360" w:lineRule="auto"/>
        <w:jc w:val="left"/>
        <w:rPr>
          <w:rFonts w:ascii="宋体" w:hAnsi="宋体"/>
          <w:color w:val="auto"/>
          <w:sz w:val="24"/>
          <w:highlight w:val="none"/>
        </w:rPr>
      </w:pPr>
    </w:p>
    <w:p>
      <w:pPr>
        <w:snapToGrid w:val="0"/>
        <w:spacing w:line="360" w:lineRule="auto"/>
        <w:jc w:val="left"/>
        <w:rPr>
          <w:color w:val="auto"/>
          <w:highlight w:val="none"/>
        </w:rPr>
      </w:pPr>
    </w:p>
    <w:p>
      <w:pPr>
        <w:jc w:val="left"/>
        <w:rPr>
          <w:color w:val="auto"/>
          <w:highlight w:val="none"/>
        </w:rPr>
      </w:pPr>
    </w:p>
    <w:p>
      <w:pPr>
        <w:rPr>
          <w:rFonts w:hint="eastAsia"/>
          <w:color w:val="auto"/>
          <w:highlight w:val="none"/>
        </w:rPr>
      </w:pPr>
    </w:p>
    <w:p>
      <w:pPr>
        <w:rPr>
          <w:rFonts w:hint="eastAsia"/>
          <w:color w:val="auto"/>
          <w:highlight w:val="none"/>
        </w:rPr>
      </w:pPr>
      <w:r>
        <w:rPr>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ascii="Times New Roman" w:hAnsi="Times New Roman" w:eastAsia="黑体"/>
          <w:b w:val="0"/>
          <w:bCs w:val="0"/>
          <w:color w:val="auto"/>
          <w:sz w:val="44"/>
          <w:szCs w:val="44"/>
          <w:highlight w:val="none"/>
        </w:rPr>
      </w:pPr>
      <w:bookmarkStart w:id="208" w:name="_Toc69199925"/>
      <w:r>
        <w:rPr>
          <w:rFonts w:hint="eastAsia" w:ascii="Times New Roman" w:hAnsi="Times New Roman" w:eastAsia="黑体"/>
          <w:b w:val="0"/>
          <w:bCs w:val="0"/>
          <w:color w:val="auto"/>
          <w:sz w:val="44"/>
          <w:szCs w:val="44"/>
          <w:highlight w:val="none"/>
        </w:rPr>
        <w:t>第  二  卷</w:t>
      </w:r>
      <w:bookmarkEnd w:id="208"/>
    </w:p>
    <w:p>
      <w:pPr>
        <w:pStyle w:val="2"/>
        <w:spacing w:before="0" w:after="0"/>
        <w:jc w:val="center"/>
        <w:rPr>
          <w:rFonts w:hint="eastAsia"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09" w:name="_Toc69199926"/>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五</w:t>
      </w:r>
      <w:r>
        <w:rPr>
          <w:rFonts w:ascii="Times New Roman" w:hAnsi="Times New Roman" w:eastAsia="黑体"/>
          <w:b w:val="0"/>
          <w:bCs w:val="0"/>
          <w:color w:val="auto"/>
          <w:highlight w:val="none"/>
        </w:rPr>
        <w:t xml:space="preserve">章  </w:t>
      </w:r>
      <w:r>
        <w:rPr>
          <w:rFonts w:hint="eastAsia" w:ascii="Times New Roman" w:hAnsi="Times New Roman" w:eastAsia="黑体"/>
          <w:b w:val="0"/>
          <w:bCs w:val="0"/>
          <w:color w:val="auto"/>
          <w:highlight w:val="none"/>
        </w:rPr>
        <w:t>发包人要求</w:t>
      </w:r>
      <w:bookmarkEnd w:id="209"/>
    </w:p>
    <w:p>
      <w:pPr>
        <w:rPr>
          <w:rFonts w:hint="eastAsia"/>
          <w:color w:val="auto"/>
          <w:highlight w:val="none"/>
        </w:rPr>
      </w:pP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招标人应列明项目的目标、范围、设计和其他技术标准，包括对项目的内容、范围、规模、功能、质量、安全、环境保护、工期、投资限额等的明确要求，设计指标要点、有关建设标准、技术标准、验收标准，主要材料设备的参数指标、技术创新、节能环保等方面的要求；</w:t>
      </w:r>
    </w:p>
    <w:p>
      <w:pPr>
        <w:adjustRightInd w:val="0"/>
        <w:snapToGrid w:val="0"/>
        <w:spacing w:line="440" w:lineRule="exact"/>
        <w:ind w:firstLine="420" w:firstLineChars="200"/>
        <w:rPr>
          <w:color w:val="auto"/>
          <w:szCs w:val="21"/>
          <w:highlight w:val="none"/>
        </w:rPr>
      </w:pPr>
      <w:r>
        <w:rPr>
          <w:rFonts w:hint="eastAsia"/>
          <w:color w:val="auto"/>
          <w:szCs w:val="21"/>
          <w:highlight w:val="none"/>
        </w:rPr>
        <w:t>《发包人要求》可参考《湖南省建设工程总承包计价规则》附录 F：《发包人要求编写指南》进行编制，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color w:val="auto"/>
          <w:szCs w:val="21"/>
          <w:highlight w:val="none"/>
        </w:rPr>
      </w:pPr>
      <w:r>
        <w:rPr>
          <w:rFonts w:hint="eastAsia"/>
          <w:color w:val="auto"/>
          <w:szCs w:val="21"/>
          <w:highlight w:val="none"/>
        </w:rPr>
        <w:t>《发包人要求》通常包括但不限于以下内容：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一、概述</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1.工程地点。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2.招标范围。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3.建设性质。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4.项目类型及建设目标。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二、工程规模与范围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（一）工程规模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1.永久工程的勘察、设计、采购、施工承包范围。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2.临时工程的工作范围。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3.竣工验收工作范围。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4.技术服务工作范围。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6.保修工作范围。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7.运营工作范围。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8.工程总承包其他费的工作范围：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（1）BIM技术服务工作范围及要求。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（2）工程总承包管理工作范围及要求。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（3）土地及占道使用补偿工作范围及要求。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（4）场地准备及临时设施费工作范围及要求。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（5）系统集成费工作范围及要求。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（6）工程保险费工作范围及要求。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（7）其他工作范围及要求。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1.发包人和承包人的工作界区。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2.总承包人和其他承包人的工作界区。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3.其他工作界区。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（四）发包人提供的现场条件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1.施工用电。</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2.施工用水。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3.施工排水。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4.施工道路。</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（五）发包人提供的文件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1.前期批复文件。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2.勘察文件：可行性研究勘察报告、初步勘察报告、详细勘察报告等。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3.设计文件：方案设计图纸、初步设计图纸、专项设计图纸等。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4.发包人提供的其他文件。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三、功能需求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四、建设标准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1.工程建设强制性标准。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2.其他应当执行的设计标准和规范。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3.《设计任务书》，列明各专业细化设计标准要求。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（二）技术标准和要求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1.现行通用技术标准（包括施工技术规范、材料技术规范等）。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2.特殊要求的技术标准（包括勘察技术要求、BIM技术要求等）。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3.新技术、新材料、新工艺、新设备的技术标准。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（三）质量标准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（四）工艺安排或要求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（五）装修标准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（六）安装工程主要材料及设备参数、指标及品牌档次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（七）家具标准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五、项目管理规定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（一）设计管理相关要求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1.设计文件及相关审批要求。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2.施工许可办理相关要求。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（二）设计、施工和设备监造、试验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（三）样品</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1.涉及结构安全的试块、试件以及有关材料及性能指标。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2.其他需报送样品的材料或设备（种类、名称、规格、数量、性能指标）。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3.样品质量检测结果备案。</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（四）进度（包括里程碑进度计划）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1.开始工作时间。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（1）单位工程完工时间。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（2）单项工程的竣工时间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（3）项目整体竣工时间。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（1）勘察完成时间。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（2）初步设计完成时间。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（3）施工图设计完成时间。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（4）专项设计完成时间（根据项目情况确定）。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5.缺陷责任期。</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6.其他时间要求。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（五）支付</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（六）分包</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1.分包工程范围的确定。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2.分包人选择。</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（七）设备供应商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1.供应商资格要求。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2.备品备件和专业工具的采购。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（八）安全与环境管理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（九）沟通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（十）竣工试验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1.第一阶段，如对单车试验等的要求，包括试验前准备。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（1）单车试验要求。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（2）试验前准备工作。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2.第二阶段，如对联动试车、投料试车等的要求，包括人员、设备、材料、燃料、电力、消耗品、工具等必要条件。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（1）联动试车条件。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（2）投料试车条件。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3.第三阶段，如对性能测试及其他竣工试验的要求。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（1）重要指标考核（产能指标、产品质量标准、运营指标、环保指标、其他重要指标）。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（2）考核时间和程序。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（十一）竣工验收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1.竣工验收条件。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2.竣工验收程序。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3.单位/区段工程的验收。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4.对于各类指标、参数、功能、产能、工艺有其他特殊约定。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（十二）竣工后试验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1.竣工后试验范围。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2.竣工后试验时间和程序。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（十三）对项目业主人员的操作培训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1.承包人的培训义务。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2.培训计划的制定。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3.培训管理。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4.培训目标。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5.培训报告。</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（十四）缺陷责任期的服务要求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1.缺陷责任期内的扫尾工作。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2.缺陷修复范围和内容。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3.缺陷修复要求。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七、附件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附件：项目清单表。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附件：装修标准一览表。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附件：安装工程主要材料及设备标准一览表。</w:t>
      </w:r>
    </w:p>
    <w:p>
      <w:pPr>
        <w:adjustRightInd w:val="0"/>
        <w:snapToGrid w:val="0"/>
        <w:spacing w:line="440" w:lineRule="exact"/>
        <w:ind w:firstLine="420" w:firstLineChars="200"/>
        <w:rPr>
          <w:rFonts w:hint="eastAsia" w:ascii="宋体" w:hAnsi="宋体" w:cs="宋体"/>
          <w:color w:val="auto"/>
          <w:szCs w:val="21"/>
          <w:highlight w:val="none"/>
        </w:rPr>
      </w:pPr>
    </w:p>
    <w:p>
      <w:pPr>
        <w:adjustRightInd w:val="0"/>
        <w:snapToGrid w:val="0"/>
        <w:spacing w:line="440" w:lineRule="exact"/>
        <w:ind w:firstLine="420" w:firstLineChars="200"/>
        <w:rPr>
          <w:rFonts w:hint="eastAsia" w:ascii="宋体" w:hAnsi="宋体" w:cs="宋体"/>
          <w:color w:val="auto"/>
          <w:szCs w:val="21"/>
          <w:highlight w:val="none"/>
        </w:rPr>
      </w:pPr>
    </w:p>
    <w:bookmarkEnd w:id="165"/>
    <w:p>
      <w:pPr>
        <w:pStyle w:val="2"/>
        <w:spacing w:before="0" w:after="0"/>
        <w:jc w:val="center"/>
        <w:rPr>
          <w:rFonts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10" w:name="_Toc69199927"/>
      <w:r>
        <w:rPr>
          <w:rFonts w:hint="eastAsia" w:ascii="Times New Roman" w:hAnsi="Times New Roman" w:eastAsia="黑体"/>
          <w:b w:val="0"/>
          <w:bCs w:val="0"/>
          <w:color w:val="auto"/>
          <w:highlight w:val="none"/>
        </w:rPr>
        <w:t>第六章</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发包人提供的资料</w:t>
      </w:r>
      <w:bookmarkEnd w:id="210"/>
    </w:p>
    <w:p>
      <w:pPr>
        <w:rPr>
          <w:color w:val="auto"/>
          <w:highlight w:val="none"/>
        </w:rPr>
      </w:pPr>
    </w:p>
    <w:p>
      <w:pPr>
        <w:rPr>
          <w:rFonts w:eastAsia="黑体"/>
          <w:b/>
          <w:bCs/>
          <w:color w:val="auto"/>
          <w:highlight w:val="none"/>
        </w:rPr>
      </w:pPr>
      <w:r>
        <w:rPr>
          <w:rFonts w:hint="eastAsia"/>
          <w:color w:val="auto"/>
          <w:highlight w:val="none"/>
        </w:rPr>
        <w:t>注：包括招标前完成的水文地质、工程地质、地形等资料、城乡规划和城市设计对项目的基本要求、工程可行性研究报告、方案设计</w:t>
      </w:r>
      <w:r>
        <w:rPr>
          <w:color w:val="auto"/>
          <w:highlight w:val="none"/>
        </w:rPr>
        <w:t>或</w:t>
      </w:r>
      <w:r>
        <w:rPr>
          <w:rFonts w:hint="eastAsia"/>
          <w:color w:val="auto"/>
          <w:highlight w:val="none"/>
        </w:rPr>
        <w:t>初步设计文件（设计图纸可编辑）等，由招标人根据招标项目的具体情况提供。</w:t>
      </w:r>
      <w:r>
        <w:rPr>
          <w:rFonts w:eastAsia="黑体"/>
          <w:b/>
          <w:bCs/>
          <w:color w:val="auto"/>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bookmarkStart w:id="211"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jc w:val="center"/>
        <w:rPr>
          <w:rFonts w:ascii="Times New Roman" w:hAnsi="Times New Roman" w:eastAsia="黑体"/>
          <w:b w:val="0"/>
          <w:bCs w:val="0"/>
          <w:color w:val="auto"/>
          <w:sz w:val="44"/>
          <w:szCs w:val="44"/>
          <w:highlight w:val="none"/>
        </w:rPr>
      </w:pPr>
      <w:bookmarkStart w:id="212" w:name="_Toc69199928"/>
      <w:r>
        <w:rPr>
          <w:rFonts w:ascii="Times New Roman" w:hAnsi="Times New Roman" w:eastAsia="黑体"/>
          <w:b w:val="0"/>
          <w:bCs w:val="0"/>
          <w:color w:val="auto"/>
          <w:sz w:val="44"/>
          <w:szCs w:val="44"/>
          <w:highlight w:val="none"/>
        </w:rPr>
        <w:t xml:space="preserve">第  </w:t>
      </w:r>
      <w:r>
        <w:rPr>
          <w:rFonts w:hint="eastAsia" w:ascii="Times New Roman" w:hAnsi="Times New Roman" w:eastAsia="黑体"/>
          <w:b w:val="0"/>
          <w:bCs w:val="0"/>
          <w:color w:val="auto"/>
          <w:sz w:val="44"/>
          <w:szCs w:val="44"/>
          <w:highlight w:val="none"/>
        </w:rPr>
        <w:t>三</w:t>
      </w:r>
      <w:r>
        <w:rPr>
          <w:rFonts w:ascii="Times New Roman" w:hAnsi="Times New Roman" w:eastAsia="黑体"/>
          <w:b w:val="0"/>
          <w:bCs w:val="0"/>
          <w:color w:val="auto"/>
          <w:sz w:val="44"/>
          <w:szCs w:val="44"/>
          <w:highlight w:val="none"/>
        </w:rPr>
        <w:t xml:space="preserve">  卷</w:t>
      </w:r>
      <w:bookmarkEnd w:id="211"/>
      <w:bookmarkEnd w:id="212"/>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spacing w:before="0" w:after="0"/>
        <w:jc w:val="center"/>
        <w:rPr>
          <w:rFonts w:hint="eastAsia" w:ascii="Times New Roman" w:hAnsi="Times New Roman" w:eastAsia="黑体"/>
          <w:b w:val="0"/>
          <w:bCs w:val="0"/>
          <w:color w:val="auto"/>
          <w:highlight w:val="none"/>
        </w:rPr>
      </w:pPr>
      <w:bookmarkStart w:id="213" w:name="_Toc300678564"/>
      <w:bookmarkStart w:id="214" w:name="_Toc69199929"/>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七</w:t>
      </w:r>
      <w:r>
        <w:rPr>
          <w:rFonts w:ascii="Times New Roman" w:hAnsi="Times New Roman" w:eastAsia="黑体"/>
          <w:b w:val="0"/>
          <w:bCs w:val="0"/>
          <w:color w:val="auto"/>
          <w:highlight w:val="none"/>
        </w:rPr>
        <w:t>章  投标文件格式</w:t>
      </w:r>
      <w:bookmarkEnd w:id="213"/>
      <w:bookmarkEnd w:id="214"/>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215" w:name="_Toc300678565"/>
    </w:p>
    <w:p>
      <w:pPr>
        <w:pStyle w:val="2"/>
        <w:jc w:val="center"/>
        <w:rPr>
          <w:rFonts w:ascii="Times New Roman" w:hAnsi="Times New Roman" w:eastAsia="黑体"/>
          <w:b w:val="0"/>
          <w:color w:val="auto"/>
          <w:highlight w:val="none"/>
        </w:rPr>
      </w:pPr>
      <w:bookmarkStart w:id="216" w:name="_Toc6919993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215"/>
      <w:bookmarkEnd w:id="216"/>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rFonts w:hint="eastAsia"/>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spacing w:line="360" w:lineRule="auto"/>
        <w:jc w:val="center"/>
        <w:rPr>
          <w:rFonts w:eastAsia="黑体"/>
          <w:color w:val="auto"/>
          <w:kern w:val="0"/>
          <w:sz w:val="24"/>
          <w:szCs w:val="28"/>
          <w:highlight w:val="none"/>
        </w:rPr>
      </w:pPr>
      <w:r>
        <w:rPr>
          <w:rFonts w:eastAsia="黑体"/>
          <w:color w:val="auto"/>
          <w:kern w:val="0"/>
          <w:sz w:val="24"/>
          <w:szCs w:val="28"/>
          <w:highlight w:val="none"/>
        </w:rPr>
        <w:t>法定代表人或其委托代理人：</w:t>
      </w:r>
      <w:r>
        <w:rPr>
          <w:rFonts w:eastAsia="黑体"/>
          <w:color w:val="auto"/>
          <w:kern w:val="0"/>
          <w:sz w:val="24"/>
          <w:szCs w:val="28"/>
          <w:highlight w:val="none"/>
          <w:u w:val="single"/>
        </w:rPr>
        <w:t xml:space="preserve">           </w:t>
      </w:r>
      <w:r>
        <w:rPr>
          <w:rFonts w:eastAsia="黑体"/>
          <w:color w:val="auto"/>
          <w:kern w:val="0"/>
          <w:sz w:val="24"/>
          <w:szCs w:val="28"/>
          <w:highlight w:val="none"/>
        </w:rPr>
        <w:t>（签字或盖章）</w:t>
      </w:r>
    </w:p>
    <w:p>
      <w:pPr>
        <w:widowControl/>
        <w:spacing w:before="156" w:after="312" w:line="420" w:lineRule="atLeast"/>
        <w:jc w:val="center"/>
        <w:rPr>
          <w:rFonts w:eastAsia="黑体"/>
          <w:color w:val="auto"/>
          <w:kern w:val="0"/>
          <w:sz w:val="24"/>
          <w:szCs w:val="28"/>
          <w:highlight w:val="none"/>
        </w:rPr>
      </w:pPr>
      <w:r>
        <w:rPr>
          <w:rFonts w:eastAsia="黑体"/>
          <w:color w:val="auto"/>
          <w:kern w:val="0"/>
          <w:sz w:val="24"/>
          <w:szCs w:val="28"/>
          <w:highlight w:val="none"/>
        </w:rPr>
        <w:t xml:space="preserve">   年   月  日</w:t>
      </w:r>
    </w:p>
    <w:p>
      <w:pPr>
        <w:pStyle w:val="186"/>
        <w:spacing w:line="500" w:lineRule="exact"/>
        <w:ind w:firstLine="211" w:firstLineChars="100"/>
        <w:rPr>
          <w:rFonts w:ascii="Arial" w:hAnsi="Arial" w:eastAsia="新宋体" w:cs="Arial"/>
          <w:b/>
          <w:color w:val="auto"/>
          <w:sz w:val="21"/>
          <w:highlight w:val="none"/>
        </w:rPr>
      </w:pPr>
      <w:bookmarkStart w:id="217" w:name="_Hlk53729432"/>
      <w:r>
        <w:rPr>
          <w:rFonts w:hint="eastAsia" w:ascii="Arial" w:hAnsi="Arial" w:eastAsia="新宋体" w:cs="Arial"/>
          <w:b/>
          <w:color w:val="auto"/>
          <w:sz w:val="21"/>
          <w:highlight w:val="none"/>
        </w:rPr>
        <w:t>注：以联合体形式投标的，由联合体牵头人签署。</w:t>
      </w:r>
    </w:p>
    <w:bookmarkEnd w:id="217"/>
    <w:p>
      <w:pPr>
        <w:widowControl/>
        <w:spacing w:before="156" w:after="312" w:line="420" w:lineRule="atLeast"/>
        <w:jc w:val="center"/>
        <w:rPr>
          <w:rFonts w:eastAsia="黑体"/>
          <w:color w:val="auto"/>
          <w:kern w:val="0"/>
          <w:sz w:val="24"/>
          <w:szCs w:val="28"/>
          <w:highlight w:val="none"/>
        </w:rPr>
      </w:pPr>
    </w:p>
    <w:p>
      <w:pPr>
        <w:widowControl/>
        <w:spacing w:before="156" w:after="312" w:line="420" w:lineRule="atLeast"/>
        <w:jc w:val="center"/>
        <w:rPr>
          <w:rFonts w:hint="eastAsia" w:eastAsia="黑体"/>
          <w:color w:val="auto"/>
          <w:kern w:val="0"/>
          <w:sz w:val="28"/>
          <w:szCs w:val="28"/>
          <w:highlight w:val="none"/>
        </w:rPr>
      </w:pPr>
    </w:p>
    <w:p>
      <w:pPr>
        <w:widowControl/>
        <w:rPr>
          <w:color w:val="auto"/>
          <w:szCs w:val="21"/>
          <w:highlight w:val="none"/>
        </w:rPr>
      </w:pPr>
      <w:r>
        <w:rPr>
          <w:color w:val="auto"/>
          <w:kern w:val="0"/>
          <w:highlight w:val="none"/>
        </w:rPr>
        <w:br w:type="page"/>
      </w:r>
      <w:bookmarkStart w:id="218" w:name="_Toc300678566"/>
    </w:p>
    <w:p>
      <w:pPr>
        <w:pStyle w:val="3"/>
        <w:spacing w:before="0" w:after="0" w:line="240" w:lineRule="auto"/>
        <w:jc w:val="center"/>
        <w:rPr>
          <w:rFonts w:ascii="Times New Roman" w:hAnsi="Times New Roman" w:eastAsia="黑体"/>
          <w:b w:val="0"/>
          <w:bCs w:val="0"/>
          <w:color w:val="auto"/>
          <w:sz w:val="36"/>
          <w:szCs w:val="36"/>
          <w:highlight w:val="none"/>
        </w:rPr>
      </w:pPr>
      <w:bookmarkStart w:id="219" w:name="_Toc9178578"/>
      <w:bookmarkStart w:id="220" w:name="_Toc69199931"/>
      <w:r>
        <w:rPr>
          <w:rFonts w:ascii="Times New Roman" w:hAnsi="Times New Roman" w:eastAsia="黑体"/>
          <w:b w:val="0"/>
          <w:bCs w:val="0"/>
          <w:color w:val="auto"/>
          <w:sz w:val="36"/>
          <w:szCs w:val="36"/>
          <w:highlight w:val="none"/>
        </w:rPr>
        <w:t>目    录</w:t>
      </w:r>
      <w:bookmarkEnd w:id="218"/>
      <w:bookmarkEnd w:id="219"/>
      <w:bookmarkEnd w:id="220"/>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9"/>
          <w:rFonts w:hint="eastAsia"/>
          <w:color w:val="auto"/>
          <w:highlight w:val="none"/>
        </w:rPr>
        <w:t>1.</w:t>
      </w:r>
      <w:r>
        <w:rPr>
          <w:rStyle w:val="49"/>
          <w:color w:val="auto"/>
          <w:highlight w:val="none"/>
        </w:rPr>
        <w:t>投标函及附录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9"/>
          <w:rFonts w:hint="eastAsia"/>
          <w:color w:val="auto"/>
          <w:highlight w:val="none"/>
        </w:rPr>
        <w:t>2.</w:t>
      </w:r>
      <w:r>
        <w:rPr>
          <w:rStyle w:val="49"/>
          <w:color w:val="auto"/>
          <w:highlight w:val="none"/>
        </w:rPr>
        <w:t>法定代表人身份证明</w:t>
      </w:r>
      <w:r>
        <w:rPr>
          <w:color w:val="auto"/>
          <w:highlight w:val="none"/>
        </w:rPr>
        <w:fldChar w:fldCharType="end"/>
      </w:r>
    </w:p>
    <w:p>
      <w:pPr>
        <w:spacing w:line="276" w:lineRule="auto"/>
        <w:ind w:firstLine="420" w:firstLineChars="200"/>
        <w:rPr>
          <w:rFonts w:hint="default" w:eastAsia="宋体"/>
          <w:color w:val="auto"/>
          <w:highlight w:val="none"/>
          <w:lang w:val="en-US" w:eastAsia="zh-CN"/>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9"/>
          <w:rFonts w:hint="eastAsia"/>
          <w:color w:val="auto"/>
          <w:highlight w:val="none"/>
        </w:rPr>
        <w:t>3.</w:t>
      </w:r>
      <w:r>
        <w:rPr>
          <w:rStyle w:val="49"/>
          <w:color w:val="auto"/>
          <w:highlight w:val="none"/>
        </w:rPr>
        <w:t>授权委托书</w:t>
      </w:r>
      <w:r>
        <w:rPr>
          <w:color w:val="auto"/>
          <w:highlight w:val="none"/>
        </w:rPr>
        <w:fldChar w:fldCharType="end"/>
      </w:r>
      <w:r>
        <w:rPr>
          <w:rFonts w:hint="eastAsia"/>
          <w:color w:val="auto"/>
          <w:highlight w:val="none"/>
          <w:lang w:eastAsia="zh-CN"/>
        </w:rPr>
        <w:t>（</w:t>
      </w:r>
      <w:r>
        <w:rPr>
          <w:rFonts w:hint="eastAsia"/>
          <w:color w:val="auto"/>
          <w:highlight w:val="none"/>
          <w:lang w:val="en-US" w:eastAsia="zh-CN"/>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9"/>
          <w:rFonts w:hint="eastAsia"/>
          <w:color w:val="auto"/>
          <w:highlight w:val="none"/>
        </w:rPr>
        <w:t>4.</w:t>
      </w:r>
      <w:r>
        <w:rPr>
          <w:color w:val="auto"/>
          <w:szCs w:val="21"/>
          <w:highlight w:val="none"/>
        </w:rPr>
        <w:t>共同投标协议</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9"/>
          <w:rFonts w:hint="eastAsia"/>
          <w:color w:val="auto"/>
          <w:highlight w:val="none"/>
        </w:rPr>
        <w:t>5.</w:t>
      </w:r>
      <w:r>
        <w:rPr>
          <w:rStyle w:val="49"/>
          <w:color w:val="auto"/>
          <w:highlight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9"/>
          <w:rFonts w:hint="eastAsia"/>
          <w:color w:val="auto"/>
          <w:highlight w:val="none"/>
        </w:rPr>
        <w:t>6.</w:t>
      </w:r>
      <w:r>
        <w:rPr>
          <w:rStyle w:val="49"/>
          <w:color w:val="auto"/>
          <w:highlight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w:t>
      </w:r>
      <w:bookmarkStart w:id="221" w:name="_Hlt11160712"/>
      <w:bookmarkEnd w:id="221"/>
      <w:bookmarkStart w:id="222" w:name="_Hlt11160713"/>
      <w:bookmarkEnd w:id="222"/>
      <w:r>
        <w:rPr>
          <w:rStyle w:val="49"/>
          <w:color w:val="auto"/>
          <w:highlight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9"/>
          <w:rFonts w:hint="eastAsia"/>
          <w:color w:val="auto"/>
          <w:highlight w:val="none"/>
        </w:rPr>
        <w:t>①</w:t>
      </w:r>
      <w:r>
        <w:rPr>
          <w:rStyle w:val="49"/>
          <w:color w:val="auto"/>
          <w:highlight w:val="none"/>
        </w:rPr>
        <w:t>拟任</w:t>
      </w:r>
      <w:r>
        <w:rPr>
          <w:rStyle w:val="49"/>
          <w:rFonts w:hint="eastAsia"/>
          <w:color w:val="auto"/>
          <w:highlight w:val="none"/>
        </w:rPr>
        <w:t>工程总承包项目负责人</w:t>
      </w:r>
      <w:r>
        <w:rPr>
          <w:rStyle w:val="49"/>
          <w:color w:val="auto"/>
          <w:highlight w:val="none"/>
        </w:rPr>
        <w:t>简历表</w:t>
      </w:r>
      <w:r>
        <w:rPr>
          <w:color w:val="auto"/>
          <w:highlight w:val="none"/>
        </w:rPr>
        <w:fldChar w:fldCharType="end"/>
      </w:r>
    </w:p>
    <w:p>
      <w:pPr>
        <w:spacing w:line="276" w:lineRule="auto"/>
        <w:ind w:firstLine="1470" w:firstLineChars="700"/>
        <w:rPr>
          <w:rStyle w:val="49"/>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9"/>
          <w:rFonts w:hint="eastAsia"/>
          <w:color w:val="auto"/>
          <w:highlight w:val="none"/>
        </w:rPr>
        <w:t>②</w:t>
      </w:r>
      <w:r>
        <w:rPr>
          <w:rStyle w:val="49"/>
          <w:color w:val="auto"/>
          <w:highlight w:val="none"/>
        </w:rPr>
        <w:t>拟任</w:t>
      </w:r>
      <w:r>
        <w:rPr>
          <w:rStyle w:val="49"/>
          <w:rFonts w:hint="eastAsia"/>
          <w:color w:val="auto"/>
          <w:highlight w:val="none"/>
        </w:rPr>
        <w:t>施工</w:t>
      </w:r>
      <w:r>
        <w:rPr>
          <w:rStyle w:val="49"/>
          <w:color w:val="auto"/>
          <w:highlight w:val="none"/>
        </w:rPr>
        <w:t>项目</w:t>
      </w:r>
      <w:r>
        <w:rPr>
          <w:rStyle w:val="49"/>
          <w:rFonts w:hint="eastAsia"/>
          <w:color w:val="auto"/>
          <w:highlight w:val="none"/>
        </w:rPr>
        <w:t>负责人</w:t>
      </w:r>
      <w:r>
        <w:rPr>
          <w:rStyle w:val="49"/>
          <w:color w:val="auto"/>
          <w:highlight w:val="none"/>
        </w:rPr>
        <w:t>简历表</w:t>
      </w:r>
    </w:p>
    <w:p>
      <w:pPr>
        <w:spacing w:line="276" w:lineRule="auto"/>
        <w:ind w:firstLine="1470" w:firstLineChars="700"/>
        <w:rPr>
          <w:color w:val="auto"/>
          <w:highlight w:val="none"/>
        </w:rPr>
      </w:pPr>
      <w:r>
        <w:rPr>
          <w:color w:val="auto"/>
          <w:highlight w:val="none"/>
        </w:rPr>
        <w:fldChar w:fldCharType="end"/>
      </w: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拟任设计项目</w:t>
      </w:r>
      <w:r>
        <w:rPr>
          <w:color w:val="auto"/>
          <w:highlight w:val="none"/>
        </w:rPr>
        <w:t>负责人简历表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9"/>
          <w:rFonts w:hint="eastAsia"/>
          <w:color w:val="auto"/>
          <w:highlight w:val="none"/>
        </w:rPr>
        <w:t>7.</w:t>
      </w:r>
      <w:r>
        <w:rPr>
          <w:rStyle w:val="49"/>
          <w:color w:val="auto"/>
          <w:highlight w:val="none"/>
        </w:rPr>
        <w:t>拟分包计划表</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"_Toc300678580"</w:instrText>
      </w:r>
      <w:r>
        <w:rPr>
          <w:color w:val="auto"/>
          <w:highlight w:val="none"/>
        </w:rPr>
        <w:fldChar w:fldCharType="separate"/>
      </w:r>
      <w:r>
        <w:rPr>
          <w:rStyle w:val="49"/>
          <w:rFonts w:hint="eastAsia"/>
          <w:color w:val="auto"/>
          <w:highlight w:val="none"/>
        </w:rPr>
        <w:t>8.</w:t>
      </w:r>
      <w:r>
        <w:rPr>
          <w:rStyle w:val="49"/>
          <w:color w:val="auto"/>
          <w:highlight w:val="none"/>
        </w:rPr>
        <w:t>资格审查</w:t>
      </w:r>
      <w:r>
        <w:rPr>
          <w:rStyle w:val="49"/>
          <w:rFonts w:hint="eastAsia"/>
          <w:color w:val="auto"/>
          <w:highlight w:val="none"/>
        </w:rPr>
        <w:t>、信用等</w:t>
      </w:r>
      <w:r>
        <w:rPr>
          <w:rStyle w:val="49"/>
          <w:color w:val="auto"/>
          <w:highlight w:val="none"/>
        </w:rPr>
        <w:t>资料</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"_Toc300678581"</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）投标人基本情况表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"_Toc300678582"</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w:t>
      </w:r>
      <w:r>
        <w:rPr>
          <w:color w:val="auto"/>
          <w:highlight w:val="none"/>
        </w:rPr>
        <w:fldChar w:fldCharType="end"/>
      </w:r>
      <w:r>
        <w:rPr>
          <w:rFonts w:hint="eastAsia"/>
          <w:color w:val="auto"/>
          <w:highlight w:val="none"/>
        </w:rPr>
        <w:t>投标人</w:t>
      </w:r>
      <w:r>
        <w:rPr>
          <w:color w:val="auto"/>
          <w:highlight w:val="none"/>
        </w:rPr>
        <w:t>证件复印件</w:t>
      </w:r>
    </w:p>
    <w:p>
      <w:pPr>
        <w:spacing w:line="276" w:lineRule="auto"/>
        <w:ind w:firstLine="1470" w:firstLineChars="700"/>
        <w:rPr>
          <w:rFonts w:hint="eastAsia"/>
          <w:color w:val="auto"/>
          <w:highlight w:val="none"/>
        </w:rPr>
      </w:pPr>
      <w:r>
        <w:rPr>
          <w:color w:val="auto"/>
          <w:highlight w:val="none"/>
        </w:rPr>
        <w:fldChar w:fldCharType="begin"/>
      </w:r>
      <w:r>
        <w:rPr>
          <w:color w:val="auto"/>
          <w:highlight w:val="none"/>
        </w:rPr>
        <w:instrText xml:space="preserve">HYPERLINK \l "_Toc300678584"</w:instrText>
      </w:r>
      <w:r>
        <w:rPr>
          <w:color w:val="auto"/>
          <w:highlight w:val="none"/>
        </w:rPr>
        <w:fldChar w:fldCharType="separate"/>
      </w:r>
      <w:r>
        <w:rPr>
          <w:rStyle w:val="49"/>
          <w:color w:val="auto"/>
          <w:highlight w:val="none"/>
        </w:rPr>
        <w:t>（</w:t>
      </w:r>
      <w:r>
        <w:rPr>
          <w:rStyle w:val="49"/>
          <w:rFonts w:hint="eastAsia"/>
          <w:color w:val="auto"/>
          <w:highlight w:val="none"/>
        </w:rPr>
        <w:t>3</w:t>
      </w:r>
      <w:r>
        <w:rPr>
          <w:rStyle w:val="49"/>
          <w:color w:val="auto"/>
          <w:highlight w:val="none"/>
        </w:rPr>
        <w:t>）</w:t>
      </w:r>
      <w:r>
        <w:rPr>
          <w:color w:val="auto"/>
          <w:highlight w:val="none"/>
        </w:rPr>
        <w:fldChar w:fldCharType="end"/>
      </w:r>
      <w:r>
        <w:rPr>
          <w:color w:val="auto"/>
          <w:highlight w:val="none"/>
        </w:rPr>
        <w:t>近年完成的类似</w:t>
      </w:r>
      <w:r>
        <w:rPr>
          <w:rFonts w:hint="eastAsia"/>
          <w:color w:val="auto"/>
          <w:highlight w:val="none"/>
        </w:rPr>
        <w:t>工程业绩</w:t>
      </w:r>
      <w:r>
        <w:rPr>
          <w:color w:val="auto"/>
          <w:highlight w:val="none"/>
        </w:rPr>
        <w:t>情况表</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）独立投标人（设计资质）或联合体中设计单位奖项情况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）独立投标人（施工资质）或联合体中施工单位奖项情况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）独立投标人（施工资质）或联合体中施工单位标准化工地情况</w:t>
      </w:r>
    </w:p>
    <w:p>
      <w:pPr>
        <w:spacing w:line="276" w:lineRule="auto"/>
        <w:ind w:firstLine="1470" w:firstLineChars="700"/>
        <w:rPr>
          <w:rFonts w:hint="eastAsia"/>
          <w:color w:val="auto"/>
          <w:highlight w:val="none"/>
        </w:rPr>
      </w:pPr>
      <w:r>
        <w:rPr>
          <w:color w:val="auto"/>
          <w:highlight w:val="none"/>
        </w:rPr>
        <w:t>（</w:t>
      </w:r>
      <w:r>
        <w:rPr>
          <w:rFonts w:hint="eastAsia"/>
          <w:color w:val="auto"/>
          <w:highlight w:val="none"/>
          <w:lang w:val="en-US" w:eastAsia="zh-CN"/>
        </w:rPr>
        <w:t>7</w:t>
      </w:r>
      <w:r>
        <w:rPr>
          <w:color w:val="auto"/>
          <w:highlight w:val="none"/>
        </w:rPr>
        <w:t>）</w:t>
      </w:r>
      <w:r>
        <w:rPr>
          <w:rFonts w:hint="eastAsia"/>
          <w:color w:val="auto"/>
          <w:highlight w:val="none"/>
        </w:rPr>
        <w:t>独立投标人（设计资质）或联合体中设计单位</w:t>
      </w:r>
      <w:r>
        <w:rPr>
          <w:color w:val="auto"/>
          <w:highlight w:val="none"/>
        </w:rPr>
        <w:t>信用评价</w:t>
      </w:r>
      <w:r>
        <w:rPr>
          <w:rFonts w:hint="eastAsia"/>
          <w:color w:val="auto"/>
          <w:highlight w:val="none"/>
        </w:rPr>
        <w:t>情况</w:t>
      </w:r>
    </w:p>
    <w:p>
      <w:pPr>
        <w:spacing w:line="276" w:lineRule="auto"/>
        <w:ind w:left="1470" w:leftChars="700"/>
        <w:rPr>
          <w:color w:val="auto"/>
          <w:highlight w:val="none"/>
        </w:rPr>
      </w:pPr>
      <w:r>
        <w:rPr>
          <w:color w:val="auto"/>
          <w:highlight w:val="none"/>
          <w:u w:val="none"/>
        </w:rPr>
        <w:fldChar w:fldCharType="begin"/>
      </w:r>
      <w:r>
        <w:rPr>
          <w:color w:val="auto"/>
          <w:highlight w:val="none"/>
          <w:u w:val="none"/>
        </w:rPr>
        <w:instrText xml:space="preserve">HYPERLINK \l "_Toc300678586"</w:instrText>
      </w:r>
      <w:r>
        <w:rPr>
          <w:color w:val="auto"/>
          <w:highlight w:val="none"/>
          <w:u w:val="none"/>
        </w:rPr>
        <w:fldChar w:fldCharType="separate"/>
      </w:r>
      <w:r>
        <w:rPr>
          <w:rStyle w:val="49"/>
          <w:color w:val="auto"/>
          <w:highlight w:val="none"/>
          <w:u w:val="none"/>
        </w:rPr>
        <w:t>（</w:t>
      </w:r>
      <w:r>
        <w:rPr>
          <w:rStyle w:val="49"/>
          <w:rFonts w:hint="eastAsia"/>
          <w:color w:val="auto"/>
          <w:highlight w:val="none"/>
          <w:u w:val="none"/>
          <w:lang w:val="en-US" w:eastAsia="zh-CN"/>
        </w:rPr>
        <w:t>8</w:t>
      </w:r>
      <w:r>
        <w:rPr>
          <w:rStyle w:val="49"/>
          <w:color w:val="auto"/>
          <w:highlight w:val="none"/>
          <w:u w:val="none"/>
        </w:rPr>
        <w:t>）</w:t>
      </w:r>
      <w:r>
        <w:rPr>
          <w:color w:val="auto"/>
          <w:highlight w:val="none"/>
          <w:u w:val="none"/>
        </w:rPr>
        <w:fldChar w:fldCharType="end"/>
      </w:r>
      <w:r>
        <w:rPr>
          <w:rFonts w:hint="eastAsia"/>
          <w:color w:val="auto"/>
          <w:highlight w:val="none"/>
        </w:rPr>
        <w:t>独立投标人（施工资质）或联合体中施工单位施工项目季度考评综合优良率情况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）独立投标人（施工资质）或联合体中施工单位信用评价情况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）拟任工程总承包项目负责人不良行为记录、被列入省公管办或省住建厅发布的严重失信行为名单（含失信黑名单，下同）的证明资料复印件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rStyle w:val="49"/>
          <w:color w:val="auto"/>
          <w:highlight w:val="none"/>
        </w:rPr>
        <w:t>10</w:t>
      </w:r>
      <w:r>
        <w:rPr>
          <w:rStyle w:val="49"/>
          <w:rFonts w:hint="eastAsia"/>
          <w:color w:val="auto"/>
          <w:highlight w:val="none"/>
        </w:rPr>
        <w:t>.</w:t>
      </w:r>
      <w:r>
        <w:rPr>
          <w:rStyle w:val="49"/>
          <w:color w:val="auto"/>
          <w:highlight w:val="none"/>
        </w:rPr>
        <w:t>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49"/>
          <w:color w:val="auto"/>
          <w:highlight w:val="none"/>
          <w:u w:val="none"/>
        </w:rPr>
      </w:pPr>
      <w:bookmarkStart w:id="223" w:name="_Toc300678567"/>
      <w:r>
        <w:rPr>
          <w:rStyle w:val="49"/>
          <w:color w:val="auto"/>
          <w:highlight w:val="none"/>
          <w:u w:val="none"/>
        </w:rPr>
        <w:br w:type="page"/>
      </w:r>
    </w:p>
    <w:p>
      <w:pPr>
        <w:pStyle w:val="3"/>
        <w:spacing w:before="0" w:after="0" w:line="360" w:lineRule="auto"/>
        <w:jc w:val="center"/>
        <w:rPr>
          <w:rFonts w:ascii="Times New Roman" w:hAnsi="Times New Roman" w:eastAsia="黑体"/>
          <w:b w:val="0"/>
          <w:bCs w:val="0"/>
          <w:color w:val="auto"/>
          <w:sz w:val="30"/>
          <w:highlight w:val="none"/>
        </w:rPr>
      </w:pPr>
      <w:bookmarkStart w:id="224" w:name="_Toc9178579"/>
      <w:bookmarkStart w:id="225" w:name="_Toc6919993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投标函及附录</w:t>
      </w:r>
      <w:bookmarkEnd w:id="223"/>
      <w:bookmarkEnd w:id="224"/>
      <w:bookmarkEnd w:id="225"/>
    </w:p>
    <w:p>
      <w:pPr>
        <w:pStyle w:val="5"/>
        <w:spacing w:line="288" w:lineRule="auto"/>
        <w:jc w:val="center"/>
        <w:rPr>
          <w:rFonts w:ascii="Times New Roman" w:hAnsi="Times New Roman" w:eastAsia="黑体"/>
          <w:b w:val="0"/>
          <w:bCs w:val="0"/>
          <w:color w:val="auto"/>
          <w:sz w:val="24"/>
          <w:highlight w:val="none"/>
        </w:rPr>
      </w:pPr>
      <w:bookmarkStart w:id="226"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226"/>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w:t>
      </w:r>
      <w:r>
        <w:rPr>
          <w:rFonts w:hint="eastAsia"/>
          <w:color w:val="auto"/>
          <w:szCs w:val="21"/>
          <w:highlight w:val="none"/>
        </w:rPr>
        <w:t>工程总承包</w:t>
      </w:r>
      <w:r>
        <w:rPr>
          <w:color w:val="auto"/>
          <w:szCs w:val="21"/>
          <w:highlight w:val="none"/>
        </w:rPr>
        <w:t>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w:t>
      </w:r>
      <w:r>
        <w:rPr>
          <w:rFonts w:hint="eastAsia"/>
          <w:color w:val="auto"/>
          <w:szCs w:val="21"/>
          <w:highlight w:val="none"/>
        </w:rPr>
        <w:t>满足招标文件规定的</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法定代表人或委托代理人（签字或盖章）：</w:t>
      </w:r>
    </w:p>
    <w:p>
      <w:pPr>
        <w:ind w:firstLine="420" w:firstLineChars="200"/>
        <w:rPr>
          <w:color w:val="auto"/>
          <w:szCs w:val="21"/>
          <w:highlight w:val="none"/>
        </w:rPr>
      </w:pPr>
    </w:p>
    <w:p>
      <w:pPr>
        <w:ind w:firstLine="420" w:firstLineChars="200"/>
        <w:rPr>
          <w:rFonts w:hint="eastAsia"/>
          <w:color w:val="auto"/>
          <w:szCs w:val="21"/>
          <w:highlight w:val="none"/>
        </w:rPr>
      </w:pPr>
      <w:r>
        <w:rPr>
          <w:color w:val="auto"/>
          <w:szCs w:val="21"/>
          <w:highlight w:val="none"/>
        </w:rPr>
        <w:t>日期：   年  月  日</w:t>
      </w:r>
    </w:p>
    <w:p>
      <w:pPr>
        <w:ind w:firstLine="420" w:firstLineChars="200"/>
        <w:rPr>
          <w:rFonts w:hint="eastAsia"/>
          <w:color w:val="auto"/>
          <w:szCs w:val="21"/>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color w:val="auto"/>
          <w:szCs w:val="21"/>
          <w:highlight w:val="none"/>
        </w:rPr>
      </w:pPr>
    </w:p>
    <w:p>
      <w:pPr>
        <w:spacing w:line="360" w:lineRule="auto"/>
        <w:rPr>
          <w:rFonts w:eastAsia="黑体"/>
          <w:color w:val="auto"/>
          <w:sz w:val="24"/>
          <w:highlight w:val="none"/>
        </w:rPr>
        <w:sectPr>
          <w:pgSz w:w="11907" w:h="16840"/>
          <w:pgMar w:top="1304" w:right="1474" w:bottom="1304" w:left="1474" w:header="850" w:footer="1020" w:gutter="0"/>
          <w:cols w:space="720" w:num="1"/>
          <w:docGrid w:linePitch="326" w:charSpace="0"/>
        </w:sectPr>
      </w:pPr>
    </w:p>
    <w:p>
      <w:pPr>
        <w:pStyle w:val="5"/>
        <w:jc w:val="center"/>
        <w:rPr>
          <w:rFonts w:ascii="Times New Roman" w:hAnsi="Times New Roman" w:eastAsia="黑体"/>
          <w:b w:val="0"/>
          <w:bCs w:val="0"/>
          <w:color w:val="auto"/>
          <w:sz w:val="24"/>
          <w:highlight w:val="none"/>
        </w:rPr>
      </w:pPr>
      <w:bookmarkStart w:id="227"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227"/>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u w:val="single"/>
              </w:rPr>
            </w:pPr>
            <w:r>
              <w:rPr>
                <w:rFonts w:hint="default" w:ascii="Calibri" w:hAnsi="Calibri" w:cs="Calibri"/>
                <w:color w:val="auto"/>
                <w:sz w:val="18"/>
                <w:szCs w:val="21"/>
                <w:highlight w:val="none"/>
              </w:rPr>
              <w:t xml:space="preserve">姓名：   </w:t>
            </w: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bCs/>
          <w:color w:val="auto"/>
          <w:szCs w:val="21"/>
          <w:highlight w:val="none"/>
        </w:rPr>
        <w:t>法定代表人或委托代理人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228" w:name="_Toc300678570"/>
    </w:p>
    <w:p>
      <w:pPr>
        <w:rPr>
          <w:rFonts w:hint="eastAsia"/>
          <w:bCs/>
          <w:color w:val="auto"/>
          <w:szCs w:val="21"/>
          <w:highlight w:val="none"/>
        </w:rPr>
      </w:pPr>
    </w:p>
    <w:p>
      <w:pPr>
        <w:snapToGrid w:val="0"/>
        <w:spacing w:line="360" w:lineRule="auto"/>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color w:val="auto"/>
          <w:sz w:val="18"/>
          <w:szCs w:val="21"/>
          <w:highlight w:val="none"/>
        </w:rPr>
      </w:pPr>
      <w:r>
        <w:rPr>
          <w:color w:val="auto"/>
          <w:sz w:val="18"/>
          <w:szCs w:val="21"/>
          <w:highlight w:val="none"/>
        </w:rPr>
        <w:t>此类承诺可在本表中予以补充填写。</w:t>
      </w:r>
    </w:p>
    <w:p>
      <w:pPr>
        <w:snapToGrid w:val="0"/>
        <w:spacing w:line="360" w:lineRule="auto"/>
        <w:ind w:firstLine="404" w:firstLineChars="200"/>
        <w:rPr>
          <w:rFonts w:hint="eastAsia"/>
          <w:color w:val="auto"/>
          <w:kern w:val="0"/>
          <w:szCs w:val="21"/>
          <w:highlight w:val="none"/>
        </w:rPr>
      </w:pPr>
      <w:r>
        <w:rPr>
          <w:rFonts w:hint="eastAsia" w:ascii="Arial" w:hAnsi="Arial" w:eastAsia="新宋体" w:cs="Arial"/>
          <w:b/>
          <w:color w:val="auto"/>
          <w:highlight w:val="none"/>
        </w:rPr>
        <w:t>注：以联合体形式投标的，本投标函附录应由联合体牵头人按上述规定填写并签署。</w:t>
      </w:r>
    </w:p>
    <w:p>
      <w:pPr>
        <w:pStyle w:val="3"/>
        <w:spacing w:line="240" w:lineRule="auto"/>
        <w:jc w:val="center"/>
        <w:rPr>
          <w:rFonts w:ascii="Times New Roman" w:hAnsi="Times New Roman" w:eastAsia="黑体"/>
          <w:b w:val="0"/>
          <w:bCs w:val="0"/>
          <w:color w:val="auto"/>
          <w:sz w:val="30"/>
          <w:highlight w:val="none"/>
        </w:rPr>
      </w:pPr>
      <w:bookmarkStart w:id="229" w:name="_Toc9178580"/>
      <w:bookmarkStart w:id="230" w:name="_Toc69199933"/>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228"/>
      <w:bookmarkEnd w:id="229"/>
      <w:bookmarkEnd w:id="230"/>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231" w:name="_Toc300678571"/>
    </w:p>
    <w:p>
      <w:pPr>
        <w:widowControl/>
        <w:topLinePunct/>
        <w:snapToGrid w:val="0"/>
        <w:jc w:val="left"/>
        <w:rPr>
          <w:bCs/>
          <w:color w:val="auto"/>
          <w:kern w:val="0"/>
          <w:highlight w:val="none"/>
        </w:rPr>
      </w:pPr>
      <w:r>
        <w:rPr>
          <w:rFonts w:hint="eastAsia"/>
          <w:color w:val="auto"/>
          <w:kern w:val="0"/>
          <w:highlight w:val="none"/>
        </w:rPr>
        <w:t>说明：</w:t>
      </w:r>
      <w:r>
        <w:rPr>
          <w:rFonts w:hint="eastAsia"/>
          <w:color w:val="auto"/>
          <w:highlight w:val="none"/>
        </w:rPr>
        <w:t xml:space="preserve"> </w:t>
      </w:r>
      <w:r>
        <w:rPr>
          <w:rFonts w:hint="eastAsia"/>
          <w:bCs/>
          <w:color w:val="auto"/>
          <w:kern w:val="0"/>
          <w:highlight w:val="none"/>
        </w:rPr>
        <w:t>以联合体形式投标的，本法定代表人身份证明应由联合体牵头人按上述规定填写并签署。</w:t>
      </w:r>
    </w:p>
    <w:p>
      <w:pPr>
        <w:widowControl/>
        <w:topLinePunct/>
        <w:spacing w:line="440" w:lineRule="atLeast"/>
        <w:ind w:firstLine="606" w:firstLineChars="300"/>
        <w:jc w:val="left"/>
        <w:rPr>
          <w:rFonts w:hint="eastAsia"/>
          <w:bCs/>
          <w:color w:val="auto"/>
          <w:kern w:val="0"/>
          <w:highlight w:val="none"/>
          <w:u w:val="single"/>
        </w:rPr>
      </w:pPr>
    </w:p>
    <w:p>
      <w:pPr>
        <w:pStyle w:val="3"/>
        <w:jc w:val="center"/>
        <w:rPr>
          <w:rFonts w:ascii="Times New Roman" w:hAnsi="Times New Roman" w:eastAsia="黑体"/>
          <w:b w:val="0"/>
          <w:bCs w:val="0"/>
          <w:color w:val="auto"/>
          <w:sz w:val="30"/>
          <w:highlight w:val="none"/>
        </w:rPr>
      </w:pPr>
      <w:bookmarkStart w:id="232" w:name="_Toc69199934"/>
      <w:bookmarkStart w:id="233"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231"/>
      <w:bookmarkEnd w:id="232"/>
      <w:bookmarkEnd w:id="233"/>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rPr>
        <w:t>工程总承包</w:t>
      </w:r>
      <w:r>
        <w:rPr>
          <w:color w:val="auto"/>
          <w:kern w:val="0"/>
          <w:szCs w:val="21"/>
          <w:highlight w:val="none"/>
        </w:rPr>
        <w:t>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610"/>
        <w:rPr>
          <w:color w:val="auto"/>
          <w:kern w:val="0"/>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napToGrid w:val="0"/>
        <w:jc w:val="left"/>
        <w:rPr>
          <w:bCs/>
          <w:dstrike/>
          <w:color w:val="auto"/>
          <w:kern w:val="0"/>
          <w:highlight w:val="none"/>
        </w:rPr>
        <w:sectPr>
          <w:pgSz w:w="11906" w:h="16838"/>
          <w:pgMar w:top="1588" w:right="1588" w:bottom="1531" w:left="1588" w:header="850" w:footer="1020" w:gutter="0"/>
          <w:cols w:space="720" w:num="1"/>
          <w:docGrid w:type="linesAndChars" w:linePitch="574" w:charSpace="-1683"/>
        </w:sectPr>
      </w:pPr>
      <w:bookmarkStart w:id="234" w:name="_Toc300678572"/>
    </w:p>
    <w:p>
      <w:pPr>
        <w:pStyle w:val="3"/>
        <w:spacing w:before="0" w:after="0" w:line="360" w:lineRule="auto"/>
        <w:jc w:val="center"/>
        <w:rPr>
          <w:rFonts w:ascii="Times New Roman" w:hAnsi="Times New Roman" w:eastAsia="黑体"/>
          <w:b w:val="0"/>
          <w:bCs w:val="0"/>
          <w:color w:val="auto"/>
          <w:sz w:val="30"/>
          <w:highlight w:val="none"/>
        </w:rPr>
      </w:pPr>
      <w:bookmarkStart w:id="235" w:name="_Toc9178582"/>
      <w:bookmarkStart w:id="236" w:name="_Toc69199935"/>
      <w:r>
        <w:rPr>
          <w:rFonts w:hint="eastAsia" w:ascii="Times New Roman" w:hAnsi="Times New Roman" w:eastAsia="黑体"/>
          <w:b w:val="0"/>
          <w:bCs w:val="0"/>
          <w:color w:val="auto"/>
          <w:sz w:val="30"/>
          <w:highlight w:val="none"/>
        </w:rPr>
        <w:t>4.</w:t>
      </w:r>
      <w:r>
        <w:rPr>
          <w:color w:val="auto"/>
          <w:szCs w:val="21"/>
          <w:highlight w:val="none"/>
        </w:rPr>
        <w:t>共同投标协议</w:t>
      </w:r>
      <w:bookmarkEnd w:id="234"/>
      <w:bookmarkEnd w:id="235"/>
      <w:r>
        <w:rPr>
          <w:rFonts w:hint="eastAsia" w:ascii="黑体" w:hAnsi="黑体" w:eastAsia="黑体"/>
          <w:color w:val="auto"/>
          <w:sz w:val="24"/>
          <w:highlight w:val="none"/>
        </w:rPr>
        <w:t>（</w:t>
      </w:r>
      <w:r>
        <w:rPr>
          <w:rFonts w:hint="eastAsia" w:ascii="黑体" w:hAnsi="黑体" w:eastAsia="黑体"/>
          <w:color w:val="auto"/>
          <w:sz w:val="24"/>
          <w:highlight w:val="none"/>
          <w:lang w:eastAsia="zh-CN"/>
        </w:rPr>
        <w:t>联合体投标适用</w:t>
      </w:r>
      <w:r>
        <w:rPr>
          <w:rFonts w:hint="eastAsia" w:ascii="黑体" w:hAnsi="黑体" w:eastAsia="黑体"/>
          <w:color w:val="auto"/>
          <w:sz w:val="24"/>
          <w:highlight w:val="none"/>
        </w:rPr>
        <w:t>）</w:t>
      </w:r>
      <w:bookmarkEnd w:id="236"/>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w:t>
      </w:r>
      <w:r>
        <w:rPr>
          <w:rFonts w:hint="eastAsia"/>
          <w:color w:val="auto"/>
          <w:szCs w:val="21"/>
          <w:highlight w:val="none"/>
        </w:rPr>
        <w:t>工程总承包</w:t>
      </w:r>
      <w:r>
        <w:rPr>
          <w:color w:val="auto"/>
          <w:szCs w:val="21"/>
          <w:highlight w:val="none"/>
        </w:rPr>
        <w:t>投标并争取赢得本工程</w:t>
      </w:r>
      <w:r>
        <w:rPr>
          <w:rFonts w:hint="eastAsia"/>
          <w:color w:val="auto"/>
          <w:szCs w:val="21"/>
          <w:highlight w:val="none"/>
        </w:rPr>
        <w:t>总</w:t>
      </w:r>
      <w:r>
        <w:rPr>
          <w:color w:val="auto"/>
          <w:szCs w:val="21"/>
          <w:highlight w:val="none"/>
        </w:rPr>
        <w:t>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w:t>
      </w:r>
      <w:r>
        <w:rPr>
          <w:rFonts w:hint="eastAsia"/>
          <w:color w:val="auto"/>
          <w:szCs w:val="21"/>
          <w:highlight w:val="none"/>
          <w:lang w:eastAsia="zh-CN"/>
        </w:rPr>
        <w:t>联合体各方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w:t>
      </w:r>
      <w:r>
        <w:rPr>
          <w:rFonts w:hint="eastAsia"/>
          <w:color w:val="auto"/>
          <w:szCs w:val="21"/>
          <w:highlight w:val="none"/>
          <w:lang w:eastAsia="zh-CN"/>
        </w:rPr>
        <w:t>联合体各方</w:t>
      </w:r>
      <w:r>
        <w:rPr>
          <w:color w:val="auto"/>
          <w:szCs w:val="21"/>
          <w:highlight w:val="none"/>
        </w:rPr>
        <w:t>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w:t>
      </w:r>
      <w:r>
        <w:rPr>
          <w:rFonts w:hint="eastAsia"/>
          <w:color w:val="auto"/>
          <w:szCs w:val="21"/>
          <w:highlight w:val="none"/>
          <w:lang w:eastAsia="zh-CN"/>
        </w:rPr>
        <w:t>联合体各方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w:t>
      </w:r>
      <w:r>
        <w:rPr>
          <w:rFonts w:hint="eastAsia"/>
          <w:color w:val="auto"/>
          <w:szCs w:val="21"/>
          <w:highlight w:val="none"/>
          <w:lang w:val="en-US" w:eastAsia="zh-CN"/>
        </w:rPr>
        <w:t>设计</w:t>
      </w:r>
      <w:r>
        <w:rPr>
          <w:color w:val="auto"/>
          <w:szCs w:val="21"/>
          <w:highlight w:val="none"/>
        </w:rPr>
        <w:t>工作量比例</w:t>
      </w:r>
      <w:r>
        <w:rPr>
          <w:rFonts w:hint="eastAsia"/>
          <w:color w:val="auto"/>
          <w:szCs w:val="21"/>
          <w:highlight w:val="none"/>
          <w:lang w:eastAsia="zh-CN"/>
        </w:rPr>
        <w:t>（</w:t>
      </w:r>
      <w:r>
        <w:rPr>
          <w:rFonts w:hint="eastAsia"/>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eastAsia="zh-CN"/>
        </w:rPr>
        <w:t>，</w:t>
      </w:r>
      <w:r>
        <w:rPr>
          <w:color w:val="auto"/>
          <w:szCs w:val="21"/>
          <w:highlight w:val="none"/>
        </w:rPr>
        <w:t>联合体成员单位各自所承担的合同</w:t>
      </w:r>
      <w:r>
        <w:rPr>
          <w:rFonts w:hint="eastAsia"/>
          <w:color w:val="auto"/>
          <w:szCs w:val="21"/>
          <w:highlight w:val="none"/>
          <w:lang w:val="en-US" w:eastAsia="zh-CN"/>
        </w:rPr>
        <w:t>施工</w:t>
      </w:r>
      <w:r>
        <w:rPr>
          <w:color w:val="auto"/>
          <w:szCs w:val="21"/>
          <w:highlight w:val="none"/>
        </w:rPr>
        <w:t>工作量比例</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w:t>
      </w:r>
      <w:r>
        <w:rPr>
          <w:rFonts w:hint="eastAsia"/>
          <w:color w:val="auto"/>
          <w:szCs w:val="21"/>
          <w:highlight w:val="none"/>
          <w:lang w:eastAsia="zh-CN"/>
        </w:rPr>
        <w:t>共同投标协议</w:t>
      </w:r>
      <w:r>
        <w:rPr>
          <w:color w:val="auto"/>
          <w:szCs w:val="21"/>
          <w:highlight w:val="none"/>
        </w:rPr>
        <w:t>是合同的附件，对</w:t>
      </w:r>
      <w:r>
        <w:rPr>
          <w:rFonts w:hint="eastAsia"/>
          <w:color w:val="auto"/>
          <w:szCs w:val="21"/>
          <w:highlight w:val="none"/>
          <w:lang w:eastAsia="zh-CN"/>
        </w:rPr>
        <w:t>联合体各方</w:t>
      </w:r>
      <w:r>
        <w:rPr>
          <w:color w:val="auto"/>
          <w:szCs w:val="21"/>
          <w:highlight w:val="none"/>
        </w:rPr>
        <w:t>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3"/>
        <w:jc w:val="center"/>
        <w:rPr>
          <w:rFonts w:ascii="Times New Roman" w:hAnsi="Times New Roman" w:eastAsia="黑体"/>
          <w:b w:val="0"/>
          <w:bCs w:val="0"/>
          <w:color w:val="auto"/>
          <w:sz w:val="30"/>
          <w:highlight w:val="none"/>
        </w:rPr>
      </w:pPr>
      <w:bookmarkStart w:id="237" w:name="_Toc69199936"/>
      <w:bookmarkStart w:id="238" w:name="_Toc9178583"/>
      <w:bookmarkStart w:id="239" w:name="_Toc300678573"/>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237"/>
      <w:bookmarkEnd w:id="238"/>
      <w:bookmarkEnd w:id="239"/>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投标保函</w:t>
      </w:r>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jc w:val="left"/>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588" w:right="1588" w:bottom="1531" w:left="1588" w:header="1134" w:footer="1020"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pPr>
        <w:jc w:val="center"/>
        <w:rPr>
          <w:rFonts w:eastAsia="黑体"/>
          <w:color w:val="auto"/>
          <w:sz w:val="30"/>
          <w:szCs w:val="30"/>
          <w:highlight w:val="none"/>
        </w:rPr>
      </w:pPr>
      <w:r>
        <w:rPr>
          <w:rFonts w:hint="eastAsia" w:eastAsia="黑体"/>
          <w:color w:val="auto"/>
          <w:sz w:val="30"/>
          <w:szCs w:val="30"/>
          <w:highlight w:val="none"/>
        </w:rPr>
        <w:t>建设工程投标保证保险</w:t>
      </w:r>
    </w:p>
    <w:p>
      <w:pPr>
        <w:pStyle w:val="220"/>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的招标投标，并向我方投保建设工程投标保证保险（保险单号：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snapToGrid w:val="0"/>
        <w:spacing w:line="380" w:lineRule="exact"/>
        <w:ind w:firstLine="404" w:firstLineChars="200"/>
        <w:jc w:val="left"/>
        <w:rPr>
          <w:rFonts w:hint="eastAsia" w:ascii="宋体" w:hAnsi="宋体" w:cs="宋体"/>
          <w:color w:val="auto"/>
          <w:szCs w:val="21"/>
          <w:highlight w:val="none"/>
        </w:rPr>
      </w:pP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spacing w:line="480" w:lineRule="exact"/>
        <w:rPr>
          <w:color w:val="auto"/>
          <w:szCs w:val="32"/>
          <w:highlight w:val="none"/>
        </w:rPr>
        <w:sectPr>
          <w:pgSz w:w="11906" w:h="16838"/>
          <w:pgMar w:top="1417" w:right="1588" w:bottom="1417" w:left="1417" w:header="1134" w:footer="1020"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pPr>
        <w:rPr>
          <w:rFonts w:hint="eastAsia"/>
          <w:color w:val="auto"/>
          <w:highlight w:val="none"/>
        </w:rPr>
      </w:pPr>
    </w:p>
    <w:p>
      <w:pPr>
        <w:widowControl/>
        <w:jc w:val="left"/>
        <w:rPr>
          <w:color w:val="auto"/>
          <w:highlight w:val="none"/>
        </w:rPr>
      </w:pPr>
    </w:p>
    <w:p>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1417" w:right="1417" w:bottom="1417" w:left="1417" w:header="850" w:footer="1020"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3"/>
        <w:jc w:val="center"/>
        <w:rPr>
          <w:rFonts w:ascii="Times New Roman" w:hAnsi="Times New Roman" w:eastAsia="黑体"/>
          <w:b w:val="0"/>
          <w:bCs w:val="0"/>
          <w:color w:val="auto"/>
          <w:sz w:val="30"/>
          <w:highlight w:val="none"/>
        </w:rPr>
      </w:pPr>
      <w:bookmarkStart w:id="240" w:name="_Toc300678574"/>
      <w:bookmarkStart w:id="241" w:name="_Toc69199937"/>
      <w:bookmarkStart w:id="242" w:name="_Toc917858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240"/>
      <w:bookmarkEnd w:id="241"/>
      <w:bookmarkEnd w:id="242"/>
    </w:p>
    <w:p>
      <w:pPr>
        <w:pStyle w:val="4"/>
        <w:jc w:val="center"/>
        <w:rPr>
          <w:rFonts w:eastAsia="黑体"/>
          <w:b w:val="0"/>
          <w:bCs w:val="0"/>
          <w:color w:val="auto"/>
          <w:sz w:val="28"/>
          <w:highlight w:val="none"/>
        </w:rPr>
      </w:pPr>
      <w:bookmarkStart w:id="243" w:name="_Toc47711649"/>
      <w:bookmarkStart w:id="244" w:name="_Toc6919993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243"/>
      <w:bookmarkEnd w:id="2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rFonts w:hint="eastAsia"/>
          <w:color w:val="auto"/>
          <w:highlight w:val="none"/>
        </w:rPr>
      </w:pPr>
      <w:r>
        <w:rPr>
          <w:rFonts w:hint="eastAsia"/>
          <w:color w:val="auto"/>
          <w:highlight w:val="none"/>
        </w:rPr>
        <w:t>说明</w:t>
      </w:r>
      <w:r>
        <w:rPr>
          <w:color w:val="auto"/>
          <w:highlight w:val="none"/>
        </w:rPr>
        <w:t>：项目管理机构人员是指</w:t>
      </w:r>
      <w:r>
        <w:rPr>
          <w:rFonts w:hint="eastAsia"/>
          <w:color w:val="auto"/>
          <w:highlight w:val="none"/>
        </w:rPr>
        <w:t>工程总承包项目负责人</w:t>
      </w:r>
      <w:r>
        <w:rPr>
          <w:color w:val="auto"/>
          <w:highlight w:val="none"/>
        </w:rPr>
        <w:t>、</w:t>
      </w:r>
      <w:r>
        <w:rPr>
          <w:rFonts w:hint="eastAsia"/>
          <w:color w:val="auto"/>
          <w:highlight w:val="none"/>
        </w:rPr>
        <w:t>施工项目负责人、设计项目负责人</w:t>
      </w:r>
      <w:r>
        <w:rPr>
          <w:color w:val="auto"/>
          <w:highlight w:val="none"/>
        </w:rPr>
        <w:t>。</w:t>
      </w:r>
    </w:p>
    <w:p>
      <w:pPr>
        <w:rPr>
          <w:rFonts w:eastAsia="黑体"/>
          <w:b/>
          <w:bCs/>
          <w:color w:val="auto"/>
          <w:sz w:val="28"/>
          <w:highlight w:val="none"/>
        </w:rPr>
      </w:pPr>
      <w:r>
        <w:rPr>
          <w:color w:val="auto"/>
          <w:highlight w:val="none"/>
        </w:rPr>
        <w:br w:type="page"/>
      </w:r>
      <w:bookmarkStart w:id="245" w:name="_Toc9178585"/>
      <w:bookmarkStart w:id="246" w:name="_Toc300678575"/>
    </w:p>
    <w:bookmarkEnd w:id="245"/>
    <w:bookmarkEnd w:id="246"/>
    <w:p>
      <w:pPr>
        <w:pStyle w:val="4"/>
        <w:jc w:val="center"/>
        <w:rPr>
          <w:rFonts w:eastAsia="黑体"/>
          <w:b w:val="0"/>
          <w:bCs w:val="0"/>
          <w:color w:val="auto"/>
          <w:sz w:val="28"/>
          <w:highlight w:val="none"/>
        </w:rPr>
      </w:pPr>
      <w:bookmarkStart w:id="247" w:name="_Toc69199939"/>
      <w:bookmarkStart w:id="248" w:name="_Toc300678576"/>
      <w:bookmarkStart w:id="249" w:name="_Toc47711650"/>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）主要人员简历表</w:t>
      </w:r>
      <w:bookmarkEnd w:id="247"/>
      <w:bookmarkEnd w:id="248"/>
      <w:bookmarkEnd w:id="249"/>
    </w:p>
    <w:p>
      <w:pPr>
        <w:pStyle w:val="5"/>
        <w:jc w:val="center"/>
        <w:rPr>
          <w:rFonts w:hint="eastAsia" w:ascii="Times New Roman" w:eastAsia="黑体"/>
          <w:color w:val="auto"/>
          <w:sz w:val="24"/>
          <w:highlight w:val="none"/>
        </w:rPr>
      </w:pPr>
      <w:bookmarkStart w:id="250" w:name="_Toc300678577"/>
      <w:bookmarkStart w:id="251" w:name="_Toc300678579"/>
    </w:p>
    <w:p>
      <w:pPr>
        <w:pStyle w:val="5"/>
        <w:jc w:val="center"/>
        <w:rPr>
          <w:rFonts w:ascii="Cambria" w:hAnsi="Cambria"/>
          <w:b w:val="0"/>
          <w:color w:val="auto"/>
          <w:szCs w:val="21"/>
          <w:highlight w:val="none"/>
        </w:rPr>
      </w:pPr>
      <w:bookmarkStart w:id="252" w:name="_Hlk53732889"/>
      <w:r>
        <w:rPr>
          <w:rFonts w:ascii="Times New Roman" w:eastAsia="黑体"/>
          <w:color w:val="auto"/>
          <w:sz w:val="24"/>
          <w:highlight w:val="none"/>
        </w:rPr>
        <w:t>拟任</w:t>
      </w:r>
      <w:r>
        <w:rPr>
          <w:rFonts w:hint="eastAsia" w:ascii="Times New Roman" w:eastAsia="黑体"/>
          <w:color w:val="auto"/>
          <w:sz w:val="24"/>
          <w:highlight w:val="none"/>
        </w:rPr>
        <w:t>工程总承包项目负责人</w:t>
      </w:r>
      <w:r>
        <w:rPr>
          <w:rFonts w:ascii="Times New Roman" w:eastAsia="黑体"/>
          <w:color w:val="auto"/>
          <w:sz w:val="24"/>
          <w:highlight w:val="none"/>
        </w:rPr>
        <w:t>简历表</w:t>
      </w:r>
      <w:bookmarkEnd w:id="25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注册</w:t>
            </w:r>
            <w:r>
              <w:rPr>
                <w:rFonts w:hint="default" w:ascii="Calibri" w:hAnsi="Calibri" w:cs="Calibri"/>
                <w:color w:val="auto"/>
                <w:sz w:val="18"/>
                <w:szCs w:val="21"/>
                <w:highlight w:val="none"/>
              </w:rPr>
              <w:t>执业资格</w:t>
            </w:r>
            <w:r>
              <w:rPr>
                <w:rFonts w:hint="eastAsia" w:ascii="Calibri" w:hAnsi="Calibri" w:cs="Calibri"/>
                <w:color w:val="auto"/>
                <w:sz w:val="18"/>
                <w:szCs w:val="21"/>
                <w:highlight w:val="none"/>
              </w:rPr>
              <w:t>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 xml:space="preserve"> 请提供</w:t>
      </w:r>
      <w:r>
        <w:rPr>
          <w:rFonts w:hint="eastAsia" w:ascii="Calibri" w:hAnsi="Calibri"/>
          <w:color w:val="auto"/>
          <w:highlight w:val="none"/>
        </w:rPr>
        <w:t>拟任工程总承包项目负责人的注册执业资格</w:t>
      </w:r>
      <w:r>
        <w:rPr>
          <w:rFonts w:ascii="Calibri" w:hAnsi="Calibri"/>
          <w:color w:val="auto"/>
          <w:highlight w:val="none"/>
        </w:rPr>
        <w:t>证书</w:t>
      </w:r>
      <w:r>
        <w:rPr>
          <w:rFonts w:hint="eastAsia" w:ascii="Calibri" w:hAnsi="Calibri"/>
          <w:color w:val="auto"/>
          <w:highlight w:val="none"/>
        </w:rPr>
        <w:t>或职称证书</w:t>
      </w:r>
      <w:r>
        <w:rPr>
          <w:rFonts w:ascii="Calibri" w:hAnsi="Calibri"/>
          <w:color w:val="auto"/>
          <w:highlight w:val="none"/>
        </w:rPr>
        <w:t>、身份证</w:t>
      </w:r>
      <w:r>
        <w:rPr>
          <w:rFonts w:hint="eastAsia" w:ascii="Calibri" w:hAnsi="Calibri"/>
          <w:color w:val="auto"/>
          <w:highlight w:val="none"/>
        </w:rPr>
        <w:t>的</w:t>
      </w:r>
      <w:r>
        <w:rPr>
          <w:rFonts w:ascii="Calibri" w:hAnsi="Calibri"/>
          <w:color w:val="auto"/>
          <w:highlight w:val="none"/>
        </w:rPr>
        <w:t>复印件。</w:t>
      </w:r>
    </w:p>
    <w:p>
      <w:pPr>
        <w:pStyle w:val="5"/>
        <w:jc w:val="center"/>
        <w:rPr>
          <w:rFonts w:hint="eastAsia" w:ascii="Times New Roman" w:eastAsia="黑体"/>
          <w:color w:val="auto"/>
          <w:sz w:val="24"/>
          <w:highlight w:val="none"/>
        </w:rPr>
      </w:pPr>
    </w:p>
    <w:p>
      <w:pPr>
        <w:pStyle w:val="5"/>
        <w:jc w:val="center"/>
        <w:rPr>
          <w:rFonts w:hint="eastAsia" w:ascii="Times New Roman" w:eastAsia="黑体"/>
          <w:color w:val="auto"/>
          <w:sz w:val="24"/>
          <w:highlight w:val="none"/>
        </w:rPr>
      </w:pPr>
      <w:r>
        <w:rPr>
          <w:rFonts w:ascii="Times New Roman" w:eastAsia="黑体"/>
          <w:color w:val="auto"/>
          <w:sz w:val="24"/>
          <w:highlight w:val="none"/>
        </w:rPr>
        <w:br w:type="page"/>
      </w:r>
    </w:p>
    <w:bookmarkEnd w:id="250"/>
    <w:p>
      <w:pPr>
        <w:pStyle w:val="5"/>
        <w:jc w:val="center"/>
        <w:rPr>
          <w:rFonts w:ascii="Cambria" w:hAnsi="Cambria"/>
          <w:b w:val="0"/>
          <w:color w:val="auto"/>
          <w:szCs w:val="21"/>
          <w:highlight w:val="none"/>
        </w:rPr>
      </w:pPr>
      <w:bookmarkStart w:id="253" w:name="_Hlk53732909"/>
      <w:r>
        <w:rPr>
          <w:rFonts w:ascii="Times New Roman" w:eastAsia="黑体"/>
          <w:color w:val="auto"/>
          <w:sz w:val="24"/>
          <w:highlight w:val="none"/>
        </w:rPr>
        <w:t>拟任</w:t>
      </w:r>
      <w:r>
        <w:rPr>
          <w:rFonts w:hint="eastAsia" w:ascii="Times New Roman" w:eastAsia="黑体"/>
          <w:color w:val="auto"/>
          <w:sz w:val="24"/>
          <w:highlight w:val="none"/>
        </w:rPr>
        <w:t>施工</w:t>
      </w:r>
      <w:r>
        <w:rPr>
          <w:rFonts w:ascii="Times New Roman" w:eastAsia="黑体"/>
          <w:color w:val="auto"/>
          <w:sz w:val="24"/>
          <w:highlight w:val="none"/>
        </w:rPr>
        <w:t>项目</w:t>
      </w:r>
      <w:r>
        <w:rPr>
          <w:rFonts w:hint="eastAsia" w:ascii="Times New Roman" w:eastAsia="黑体"/>
          <w:color w:val="auto"/>
          <w:sz w:val="24"/>
          <w:highlight w:val="none"/>
        </w:rPr>
        <w:t>负责人</w:t>
      </w:r>
      <w:r>
        <w:rPr>
          <w:rFonts w:ascii="Times New Roman" w:eastAsia="黑体"/>
          <w:color w:val="auto"/>
          <w:sz w:val="24"/>
          <w:highlight w:val="none"/>
        </w:rPr>
        <w:t>简历表</w:t>
      </w:r>
    </w:p>
    <w:bookmarkEnd w:id="253"/>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请提供</w:t>
      </w:r>
      <w:r>
        <w:rPr>
          <w:rFonts w:hint="eastAsia" w:ascii="Calibri" w:hAnsi="Calibri"/>
          <w:color w:val="auto"/>
          <w:highlight w:val="none"/>
        </w:rPr>
        <w:t>拟任施工项目负责人的</w:t>
      </w:r>
      <w:r>
        <w:rPr>
          <w:rFonts w:ascii="Calibri" w:hAnsi="Calibri"/>
          <w:color w:val="auto"/>
          <w:highlight w:val="none"/>
        </w:rPr>
        <w:t>建造师注册证书、项目负责人安全生产考核合格证书、身份证</w:t>
      </w:r>
      <w:r>
        <w:rPr>
          <w:rFonts w:hint="eastAsia" w:ascii="Calibri" w:hAnsi="Calibri"/>
          <w:color w:val="auto"/>
          <w:highlight w:val="none"/>
        </w:rPr>
        <w:t>的</w:t>
      </w:r>
      <w:r>
        <w:rPr>
          <w:rFonts w:ascii="Calibri" w:hAnsi="Calibri"/>
          <w:color w:val="auto"/>
          <w:highlight w:val="none"/>
        </w:rPr>
        <w:t>复印件。</w:t>
      </w:r>
    </w:p>
    <w:p>
      <w:pPr>
        <w:pStyle w:val="121"/>
        <w:jc w:val="center"/>
        <w:rPr>
          <w:rFonts w:ascii="黑体" w:hAnsi="黑体" w:eastAsia="黑体"/>
          <w:color w:val="auto"/>
          <w:szCs w:val="21"/>
          <w:highlight w:val="none"/>
        </w:rPr>
      </w:pPr>
      <w:r>
        <w:rPr>
          <w:rFonts w:ascii="Times New Roman" w:eastAsia="黑体"/>
          <w:color w:val="auto"/>
          <w:sz w:val="24"/>
          <w:highlight w:val="none"/>
        </w:rPr>
        <w:br w:type="page"/>
      </w:r>
      <w:bookmarkStart w:id="254" w:name="_Hlk53732923"/>
      <w:r>
        <w:rPr>
          <w:rFonts w:hint="eastAsia" w:ascii="Times New Roman" w:hAnsi="Arial" w:eastAsia="黑体" w:cs="Times New Roman"/>
          <w:b/>
          <w:color w:val="auto"/>
          <w:sz w:val="24"/>
          <w:highlight w:val="none"/>
        </w:rPr>
        <w:t>拟任设计项目负责人简历表</w:t>
      </w:r>
    </w:p>
    <w:bookmarkEnd w:id="254"/>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姓    名</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年    龄</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性    别</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毕业</w:t>
            </w:r>
            <w:r>
              <w:rPr>
                <w:rFonts w:hint="default" w:ascii="宋体" w:hAnsi="宋体" w:cs="Calibri"/>
                <w:color w:val="auto"/>
                <w:szCs w:val="21"/>
                <w:highlight w:val="none"/>
              </w:rPr>
              <w:t>学校</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岗位名称</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工作年限</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eastAsia" w:ascii="宋体" w:hAnsi="宋体" w:cs="Calibri"/>
                <w:color w:val="auto"/>
                <w:highlight w:val="none"/>
              </w:rPr>
              <w:t>执业注册</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专业</w:t>
            </w:r>
            <w:r>
              <w:rPr>
                <w:rFonts w:hint="default" w:ascii="宋体" w:hAnsi="宋体" w:cs="Calibri"/>
                <w:color w:val="auto"/>
                <w:szCs w:val="21"/>
                <w:highlight w:val="none"/>
              </w:rPr>
              <w:t>职称</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起止时间</w:t>
            </w:r>
          </w:p>
        </w:tc>
        <w:tc>
          <w:tcPr>
            <w:tcW w:w="2340"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参加过的类似项目名称</w:t>
            </w:r>
          </w:p>
        </w:tc>
        <w:tc>
          <w:tcPr>
            <w:tcW w:w="2160"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工程概况说明</w:t>
            </w:r>
          </w:p>
        </w:tc>
        <w:tc>
          <w:tcPr>
            <w:tcW w:w="2407"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bl>
    <w:p>
      <w:pPr>
        <w:rPr>
          <w:color w:val="auto"/>
          <w:highlight w:val="none"/>
        </w:rPr>
      </w:pPr>
      <w:r>
        <w:rPr>
          <w:rFonts w:hint="eastAsia" w:ascii="宋体" w:hAnsi="宋体"/>
          <w:color w:val="auto"/>
          <w:szCs w:val="21"/>
          <w:highlight w:val="none"/>
        </w:rPr>
        <w:t>说明：</w:t>
      </w:r>
      <w:r>
        <w:rPr>
          <w:rFonts w:ascii="宋体" w:hAnsi="宋体"/>
          <w:color w:val="auto"/>
          <w:szCs w:val="21"/>
          <w:highlight w:val="none"/>
        </w:rPr>
        <w:t>请</w:t>
      </w:r>
      <w:r>
        <w:rPr>
          <w:rFonts w:hint="eastAsia" w:ascii="宋体" w:hAnsi="宋体"/>
          <w:color w:val="auto"/>
          <w:szCs w:val="21"/>
          <w:highlight w:val="none"/>
        </w:rPr>
        <w:t>附</w:t>
      </w:r>
      <w:r>
        <w:rPr>
          <w:rFonts w:ascii="宋体" w:hAnsi="宋体"/>
          <w:color w:val="auto"/>
          <w:szCs w:val="21"/>
          <w:highlight w:val="none"/>
        </w:rPr>
        <w:t>拟任</w:t>
      </w:r>
      <w:r>
        <w:rPr>
          <w:rFonts w:hint="eastAsia" w:ascii="宋体" w:hAnsi="宋体"/>
          <w:color w:val="auto"/>
          <w:szCs w:val="21"/>
          <w:highlight w:val="none"/>
        </w:rPr>
        <w:t>设计项目</w:t>
      </w:r>
      <w:r>
        <w:rPr>
          <w:rFonts w:ascii="宋体" w:hAnsi="宋体"/>
          <w:color w:val="auto"/>
          <w:szCs w:val="21"/>
          <w:highlight w:val="none"/>
        </w:rPr>
        <w:t>负责人的</w:t>
      </w:r>
      <w:r>
        <w:rPr>
          <w:rFonts w:hint="eastAsia" w:ascii="Calibri" w:hAnsi="Calibri"/>
          <w:color w:val="auto"/>
          <w:highlight w:val="none"/>
        </w:rPr>
        <w:t>注册执业资格</w:t>
      </w:r>
      <w:r>
        <w:rPr>
          <w:rFonts w:ascii="Calibri" w:hAnsi="Calibri"/>
          <w:color w:val="auto"/>
          <w:highlight w:val="none"/>
        </w:rPr>
        <w:t>证书</w:t>
      </w:r>
      <w:r>
        <w:rPr>
          <w:rFonts w:hint="eastAsia" w:ascii="Calibri" w:hAnsi="Calibri"/>
          <w:color w:val="auto"/>
          <w:highlight w:val="none"/>
        </w:rPr>
        <w:t>或职称证书</w:t>
      </w:r>
      <w:r>
        <w:rPr>
          <w:rFonts w:ascii="宋体" w:hAnsi="宋体"/>
          <w:color w:val="auto"/>
          <w:szCs w:val="21"/>
          <w:highlight w:val="none"/>
        </w:rPr>
        <w:t>、身份证复印件</w:t>
      </w:r>
      <w:r>
        <w:rPr>
          <w:rFonts w:hint="eastAsia" w:ascii="宋体" w:hAnsi="宋体"/>
          <w:bCs/>
          <w:color w:val="auto"/>
          <w:highlight w:val="none"/>
        </w:rPr>
        <w:t>。</w:t>
      </w:r>
    </w:p>
    <w:p>
      <w:pPr>
        <w:rPr>
          <w:color w:val="auto"/>
          <w:highlight w:val="none"/>
        </w:rPr>
      </w:pPr>
    </w:p>
    <w:p>
      <w:pPr>
        <w:rPr>
          <w:color w:val="auto"/>
          <w:highlight w:val="none"/>
        </w:rPr>
      </w:pPr>
    </w:p>
    <w:p>
      <w:pPr>
        <w:rPr>
          <w:color w:val="auto"/>
          <w:highlight w:val="none"/>
        </w:rPr>
      </w:pPr>
      <w:r>
        <w:rPr>
          <w:color w:val="auto"/>
          <w:highlight w:val="none"/>
        </w:rPr>
        <w:br w:type="page"/>
      </w:r>
    </w:p>
    <w:p>
      <w:pPr>
        <w:pStyle w:val="3"/>
        <w:jc w:val="center"/>
        <w:rPr>
          <w:rFonts w:ascii="Times New Roman" w:hAnsi="Times New Roman" w:eastAsia="黑体"/>
          <w:b w:val="0"/>
          <w:bCs w:val="0"/>
          <w:color w:val="auto"/>
          <w:sz w:val="30"/>
          <w:szCs w:val="30"/>
          <w:highlight w:val="none"/>
        </w:rPr>
      </w:pPr>
      <w:bookmarkStart w:id="255" w:name="_Toc69199940"/>
      <w:bookmarkStart w:id="256" w:name="_Toc9178586"/>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251"/>
      <w:bookmarkEnd w:id="255"/>
      <w:bookmarkEnd w:id="25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w:t>
      </w:r>
      <w:r>
        <w:rPr>
          <w:rFonts w:hint="eastAsia"/>
          <w:color w:val="auto"/>
          <w:sz w:val="18"/>
          <w:szCs w:val="18"/>
          <w:highlight w:val="none"/>
        </w:rPr>
        <w:t>承包</w:t>
      </w:r>
      <w:r>
        <w:rPr>
          <w:color w:val="auto"/>
          <w:sz w:val="18"/>
          <w:szCs w:val="18"/>
          <w:highlight w:val="none"/>
        </w:rPr>
        <w:t>范围内的非主体、非关键工程。</w:t>
      </w:r>
    </w:p>
    <w:p>
      <w:pPr>
        <w:spacing w:line="360" w:lineRule="auto"/>
        <w:ind w:right="420"/>
        <w:rPr>
          <w:color w:val="auto"/>
          <w:sz w:val="18"/>
          <w:szCs w:val="18"/>
          <w:highlight w:val="none"/>
        </w:rPr>
      </w:pPr>
      <w:bookmarkStart w:id="257" w:name="_Toc300678580"/>
      <w:r>
        <w:rPr>
          <w:rFonts w:eastAsia="黑体"/>
          <w:bCs/>
          <w:color w:val="auto"/>
          <w:sz w:val="28"/>
          <w:szCs w:val="28"/>
          <w:highlight w:val="none"/>
        </w:rPr>
        <w:br w:type="page"/>
      </w:r>
    </w:p>
    <w:p>
      <w:pPr>
        <w:pStyle w:val="3"/>
        <w:jc w:val="center"/>
        <w:rPr>
          <w:rFonts w:ascii="Times New Roman" w:hAnsi="Times New Roman" w:eastAsia="黑体"/>
          <w:b w:val="0"/>
          <w:bCs w:val="0"/>
          <w:color w:val="auto"/>
          <w:sz w:val="30"/>
          <w:highlight w:val="none"/>
        </w:rPr>
      </w:pPr>
      <w:bookmarkStart w:id="258" w:name="_Toc9178587"/>
      <w:bookmarkStart w:id="259" w:name="_Toc69199941"/>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资格审查</w:t>
      </w:r>
      <w:r>
        <w:rPr>
          <w:rFonts w:hint="eastAsia" w:ascii="Times New Roman" w:hAnsi="Times New Roman" w:eastAsia="黑体"/>
          <w:b w:val="0"/>
          <w:bCs w:val="0"/>
          <w:color w:val="auto"/>
          <w:sz w:val="30"/>
          <w:highlight w:val="none"/>
        </w:rPr>
        <w:t>、信用等</w:t>
      </w:r>
      <w:r>
        <w:rPr>
          <w:rFonts w:ascii="Times New Roman" w:hAnsi="Times New Roman" w:eastAsia="黑体"/>
          <w:b w:val="0"/>
          <w:bCs w:val="0"/>
          <w:color w:val="auto"/>
          <w:sz w:val="30"/>
          <w:highlight w:val="none"/>
        </w:rPr>
        <w:t>资料</w:t>
      </w:r>
      <w:bookmarkEnd w:id="257"/>
      <w:bookmarkEnd w:id="258"/>
      <w:bookmarkEnd w:id="259"/>
    </w:p>
    <w:p>
      <w:pPr>
        <w:pStyle w:val="5"/>
        <w:ind w:firstLine="240" w:firstLineChars="100"/>
        <w:jc w:val="center"/>
        <w:rPr>
          <w:rFonts w:ascii="Times New Roman" w:hAnsi="Times New Roman" w:eastAsia="黑体"/>
          <w:b w:val="0"/>
          <w:bCs w:val="0"/>
          <w:color w:val="auto"/>
          <w:sz w:val="24"/>
          <w:highlight w:val="none"/>
        </w:rPr>
      </w:pPr>
      <w:bookmarkStart w:id="260"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260"/>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before="120" w:beforeLines="50" w:after="240" w:afterLines="100" w:line="440" w:lineRule="exact"/>
        <w:rPr>
          <w:rFonts w:ascii="宋体" w:hAnsi="宋体" w:cs="Arial"/>
          <w:color w:val="auto"/>
          <w:szCs w:val="21"/>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p>
    <w:p>
      <w:pPr>
        <w:spacing w:line="300" w:lineRule="auto"/>
        <w:ind w:left="720" w:hanging="720" w:hangingChars="300"/>
        <w:rPr>
          <w:color w:val="auto"/>
          <w:sz w:val="18"/>
          <w:szCs w:val="18"/>
          <w:highlight w:val="none"/>
        </w:rPr>
      </w:pP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5"/>
        <w:jc w:val="center"/>
        <w:rPr>
          <w:rFonts w:ascii="Times New Roman" w:hAnsi="Times New Roman" w:eastAsia="黑体"/>
          <w:b w:val="0"/>
          <w:bCs w:val="0"/>
          <w:color w:val="auto"/>
          <w:sz w:val="24"/>
          <w:highlight w:val="none"/>
        </w:rPr>
      </w:pPr>
      <w:bookmarkStart w:id="261"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spacing w:line="360" w:lineRule="auto"/>
        <w:ind w:firstLine="525" w:firstLineChars="250"/>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pPr>
        <w:spacing w:line="360" w:lineRule="auto"/>
        <w:ind w:firstLine="525" w:firstLineChars="250"/>
        <w:rPr>
          <w:color w:val="auto"/>
          <w:szCs w:val="21"/>
          <w:highlight w:val="none"/>
        </w:rPr>
      </w:pPr>
    </w:p>
    <w:p>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261"/>
    </w:p>
    <w:p>
      <w:pPr>
        <w:spacing w:line="400" w:lineRule="exact"/>
        <w:jc w:val="left"/>
        <w:rPr>
          <w:rFonts w:ascii="Calibri" w:hAnsi="Calibri"/>
          <w:color w:val="auto"/>
          <w:highlight w:val="none"/>
        </w:rPr>
      </w:pPr>
      <w:r>
        <w:rPr>
          <w:rFonts w:hint="eastAsia" w:ascii="Calibri" w:hAnsi="Calibri"/>
          <w:color w:val="auto"/>
          <w:highlight w:val="none"/>
        </w:rPr>
        <w:t>说明：投标人根据所提供的类似工程业绩类型填写。</w:t>
      </w:r>
    </w:p>
    <w:p>
      <w:pPr>
        <w:spacing w:line="400" w:lineRule="exact"/>
        <w:jc w:val="center"/>
        <w:rPr>
          <w:rFonts w:hint="eastAsia" w:ascii="Calibri" w:hAnsi="Calibri"/>
          <w:color w:val="auto"/>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近年完成的类似工程业绩情况表（工程总承包项目）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工程总承包项目负责人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0"/>
                <w:highlight w:val="none"/>
              </w:rPr>
            </w:pPr>
            <w:r>
              <w:rPr>
                <w:rFonts w:hint="eastAsia" w:ascii="宋体" w:hAnsi="宋体" w:cs="宋体"/>
                <w:color w:val="auto"/>
                <w:szCs w:val="20"/>
                <w:highlight w:val="none"/>
              </w:rPr>
              <w:t>设计项目负责人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施工项目负责人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hint="eastAsia" w:ascii="宋体" w:hAnsi="宋体"/>
          <w:color w:val="auto"/>
          <w:szCs w:val="21"/>
          <w:highlight w:val="none"/>
        </w:rPr>
        <w:sectPr>
          <w:pgSz w:w="11907" w:h="16840"/>
          <w:pgMar w:top="1418" w:right="1418" w:bottom="1418" w:left="1418" w:header="851" w:footer="992" w:gutter="0"/>
          <w:cols w:space="720" w:num="1"/>
          <w:docGrid w:linePitch="326" w:charSpace="0"/>
        </w:sectPr>
      </w:pPr>
    </w:p>
    <w:p>
      <w:pPr>
        <w:snapToGrid w:val="0"/>
        <w:rPr>
          <w:rFonts w:hint="eastAsia" w:ascii="宋体" w:hAnsi="宋体"/>
          <w:color w:val="auto"/>
          <w:szCs w:val="21"/>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近年完成的类似工程业绩情况表（施工项目）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项目经理</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技术负责人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hint="eastAsia" w:ascii="宋体" w:hAnsi="宋体"/>
          <w:color w:val="auto"/>
          <w:szCs w:val="21"/>
          <w:highlight w:val="none"/>
        </w:rPr>
      </w:pPr>
      <w:r>
        <w:rPr>
          <w:rFonts w:hint="eastAsia" w:ascii="宋体" w:hAnsi="宋体" w:cs="宋体"/>
          <w:color w:val="auto"/>
          <w:szCs w:val="20"/>
          <w:highlight w:val="none"/>
        </w:rPr>
        <w:t xml:space="preserve">     2. 请附类似工程业绩证明资料（具体要求见本招标文件第二章投标人须知）。</w:t>
      </w:r>
    </w:p>
    <w:p>
      <w:pPr>
        <w:snapToGrid w:val="0"/>
        <w:spacing w:line="360" w:lineRule="auto"/>
        <w:jc w:val="center"/>
        <w:rPr>
          <w:rFonts w:ascii="宋体" w:hAnsi="宋体" w:cs="宋体"/>
          <w:b/>
          <w:color w:val="auto"/>
          <w:sz w:val="28"/>
          <w:szCs w:val="28"/>
          <w:highlight w:val="none"/>
        </w:rPr>
      </w:pPr>
      <w:r>
        <w:rPr>
          <w:rFonts w:ascii="宋体" w:hAnsi="宋体"/>
          <w:color w:val="auto"/>
          <w:sz w:val="27"/>
          <w:szCs w:val="27"/>
          <w:highlight w:val="none"/>
        </w:rPr>
        <w:br w:type="page"/>
      </w:r>
      <w:r>
        <w:rPr>
          <w:rFonts w:hint="eastAsia" w:ascii="宋体" w:hAnsi="宋体" w:cs="宋体"/>
          <w:b/>
          <w:color w:val="auto"/>
          <w:sz w:val="28"/>
          <w:szCs w:val="28"/>
          <w:highlight w:val="none"/>
        </w:rPr>
        <w:t>近年完成的类似工程业绩情况表（设计项目）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398"/>
        <w:gridCol w:w="229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39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3"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7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发包人电话</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设计服务期限</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设计内容</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设计负责人</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39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3"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7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jc w:val="left"/>
        <w:rPr>
          <w:rFonts w:hint="eastAsia" w:ascii="宋体" w:hAnsi="宋体" w:cs="宋体"/>
          <w:color w:val="auto"/>
          <w:szCs w:val="20"/>
          <w:highlight w:val="none"/>
        </w:rPr>
      </w:pPr>
      <w:r>
        <w:rPr>
          <w:rFonts w:hint="eastAsia" w:ascii="宋体" w:hAnsi="宋体" w:cs="宋体"/>
          <w:color w:val="auto"/>
          <w:szCs w:val="20"/>
          <w:highlight w:val="none"/>
        </w:rPr>
        <w:t>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hint="eastAsia" w:eastAsia="宋体"/>
          <w:color w:val="auto"/>
          <w:szCs w:val="21"/>
          <w:highlight w:val="none"/>
          <w:lang w:val="en-US" w:eastAsia="zh-CN"/>
        </w:rPr>
      </w:pPr>
      <w:r>
        <w:rPr>
          <w:rFonts w:hint="eastAsia" w:ascii="宋体" w:hAnsi="宋体" w:cs="宋体"/>
          <w:color w:val="auto"/>
          <w:szCs w:val="20"/>
          <w:highlight w:val="none"/>
        </w:rPr>
        <w:t>2. 请附类似工程业绩证明资料（具体要求见本招标文件第二章投标人须知）。</w:t>
      </w:r>
      <w:r>
        <w:rPr>
          <w:rFonts w:hint="eastAsia" w:ascii="宋体" w:hAnsi="宋体" w:cs="宋体"/>
          <w:b/>
          <w:color w:val="auto"/>
          <w:sz w:val="28"/>
          <w:szCs w:val="28"/>
          <w:highlight w:val="none"/>
        </w:rPr>
        <w:t xml:space="preserve"> </w:t>
      </w:r>
    </w:p>
    <w:p>
      <w:pPr>
        <w:pStyle w:val="5"/>
        <w:jc w:val="left"/>
        <w:rPr>
          <w:color w:val="auto"/>
          <w:szCs w:val="21"/>
          <w:highlight w:val="none"/>
        </w:rPr>
      </w:pPr>
    </w:p>
    <w:p>
      <w:pPr>
        <w:rPr>
          <w:rFonts w:hint="eastAsia"/>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4</w:t>
      </w:r>
      <w:r>
        <w:rPr>
          <w:rFonts w:hint="eastAsia" w:ascii="Times New Roman" w:hAnsi="Times New Roman" w:eastAsia="黑体"/>
          <w:b w:val="0"/>
          <w:bCs w:val="0"/>
          <w:color w:val="auto"/>
          <w:sz w:val="24"/>
          <w:highlight w:val="none"/>
        </w:rPr>
        <w:t>）独立投标人（设计资质）或联合体中设计单位奖项情况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rPr>
      </w:pPr>
      <w:r>
        <w:rPr>
          <w:rFonts w:hint="eastAsia"/>
          <w:color w:val="auto"/>
          <w:highlight w:val="none"/>
          <w:lang w:val="en-US" w:eastAsia="zh-CN"/>
        </w:rPr>
        <w:t>注：1.</w:t>
      </w:r>
      <w:r>
        <w:rPr>
          <w:rFonts w:hint="eastAsia"/>
          <w:color w:val="auto"/>
          <w:highlight w:val="none"/>
        </w:rPr>
        <w:t>请附奖项证明资料复印件（具体要求见本招标文件第三章评标办法）。</w:t>
      </w:r>
    </w:p>
    <w:p>
      <w:pPr>
        <w:numPr>
          <w:ilvl w:val="0"/>
          <w:numId w:val="0"/>
        </w:numPr>
        <w:ind w:firstLine="420" w:firstLineChars="200"/>
        <w:rPr>
          <w:rFonts w:hint="eastAsia"/>
          <w:color w:val="auto"/>
          <w:highlight w:val="none"/>
        </w:rPr>
      </w:pPr>
      <w:r>
        <w:rPr>
          <w:rFonts w:hint="eastAsia"/>
          <w:color w:val="auto"/>
          <w:highlight w:val="none"/>
          <w:lang w:val="en-US" w:eastAsia="zh-CN"/>
        </w:rPr>
        <w:t>2.省</w:t>
      </w:r>
      <w:r>
        <w:rPr>
          <w:rFonts w:hint="eastAsia"/>
          <w:color w:val="auto"/>
          <w:highlight w:val="none"/>
        </w:rPr>
        <w:t>外由省级建设行政主管部门或省级勘察设计协会评定的优秀工程设计奖，</w:t>
      </w:r>
      <w:r>
        <w:rPr>
          <w:rFonts w:hint="eastAsia"/>
          <w:color w:val="auto"/>
          <w:highlight w:val="none"/>
          <w:lang w:val="en-US" w:eastAsia="zh-CN"/>
        </w:rPr>
        <w:t>须提供</w:t>
      </w:r>
      <w:r>
        <w:rPr>
          <w:rFonts w:hint="eastAsia"/>
          <w:color w:val="auto"/>
          <w:highlight w:val="none"/>
        </w:rPr>
        <w:t>当地省级建设行政主管部门发布的评标办法</w:t>
      </w:r>
      <w:r>
        <w:rPr>
          <w:rFonts w:hint="eastAsia"/>
          <w:color w:val="auto"/>
          <w:highlight w:val="none"/>
          <w:lang w:val="en-US" w:eastAsia="zh-CN"/>
        </w:rPr>
        <w:t>文件复印件及官网查询截图</w:t>
      </w:r>
      <w:r>
        <w:rPr>
          <w:rFonts w:hint="eastAsia"/>
          <w:color w:val="auto"/>
          <w:highlight w:val="none"/>
        </w:rPr>
        <w:t>。</w:t>
      </w:r>
    </w:p>
    <w:p>
      <w:pPr>
        <w:numPr>
          <w:ilvl w:val="0"/>
          <w:numId w:val="0"/>
        </w:numPr>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获奖文件能够分辨专业类别的，以获奖文件为准；获奖文件中无法分辨专业类别的，</w:t>
      </w:r>
      <w:r>
        <w:rPr>
          <w:rFonts w:hint="eastAsia"/>
          <w:color w:val="auto"/>
          <w:highlight w:val="none"/>
          <w:lang w:val="en-US" w:eastAsia="zh-CN"/>
        </w:rPr>
        <w:t>须提供</w:t>
      </w:r>
      <w:r>
        <w:rPr>
          <w:rFonts w:hint="eastAsia"/>
          <w:color w:val="auto"/>
          <w:highlight w:val="none"/>
        </w:rPr>
        <w:t>奖项申报材料（省级相应行政主管部门、省级协会盖章的相应材料）；仍然无法辨别专业类别的，须提供获奖项目的中标通知书或合同作为证明材料。</w:t>
      </w:r>
    </w:p>
    <w:p>
      <w:pPr>
        <w:pStyle w:val="5"/>
        <w:jc w:val="left"/>
        <w:rPr>
          <w:rFonts w:hint="eastAsia" w:ascii="Times New Roman" w:hAnsi="Times New Roman"/>
          <w:b w:val="0"/>
          <w:bCs w:val="0"/>
          <w:color w:val="auto"/>
          <w:szCs w:val="24"/>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5</w:t>
      </w:r>
      <w:r>
        <w:rPr>
          <w:rFonts w:hint="eastAsia" w:ascii="Times New Roman" w:hAnsi="Times New Roman" w:eastAsia="黑体"/>
          <w:b w:val="0"/>
          <w:bCs w:val="0"/>
          <w:color w:val="auto"/>
          <w:sz w:val="24"/>
          <w:highlight w:val="none"/>
        </w:rPr>
        <w:t>）</w:t>
      </w:r>
      <w:bookmarkStart w:id="262" w:name="_Hlk53732994"/>
      <w:r>
        <w:rPr>
          <w:rFonts w:hint="eastAsia" w:ascii="Times New Roman" w:hAnsi="Times New Roman" w:eastAsia="黑体"/>
          <w:b w:val="0"/>
          <w:bCs w:val="0"/>
          <w:color w:val="auto"/>
          <w:sz w:val="24"/>
          <w:highlight w:val="none"/>
        </w:rPr>
        <w:t>独立投标人（施工资质）或联合体中施工单位奖项情况</w:t>
      </w:r>
      <w:bookmarkEnd w:id="26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lang w:val="en-US" w:eastAsia="zh-CN"/>
        </w:rPr>
      </w:pPr>
      <w:r>
        <w:rPr>
          <w:rFonts w:hint="eastAsia"/>
          <w:color w:val="auto"/>
          <w:highlight w:val="none"/>
          <w:lang w:val="en-US" w:eastAsia="zh-CN"/>
        </w:rPr>
        <w:t>注：1.请附奖项证明资料复印件（具体要求见本招标文件第三章评标办法）；</w:t>
      </w:r>
    </w:p>
    <w:p>
      <w:pPr>
        <w:ind w:firstLine="420" w:firstLineChars="200"/>
        <w:rPr>
          <w:rFonts w:hint="eastAsia"/>
          <w:color w:val="auto"/>
          <w:highlight w:val="none"/>
          <w:lang w:val="en-US" w:eastAsia="zh-CN"/>
        </w:rPr>
      </w:pPr>
      <w:r>
        <w:rPr>
          <w:rFonts w:hint="eastAsia"/>
          <w:color w:val="auto"/>
          <w:highlight w:val="none"/>
          <w:lang w:val="en-US" w:eastAsia="zh-CN"/>
        </w:rPr>
        <w:t>2.省外由省级建设行政主管部门或省级建筑业协会评定的综合工程质量奖项，须提供当地省级建设行政主管部门发布的评标办法文件复印件及官网查询截图。证明每年该综合工程质量奖项数量控制在 100 项以内 (含)的文件复印件（如有）；</w:t>
      </w:r>
    </w:p>
    <w:p>
      <w:pPr>
        <w:ind w:firstLine="420" w:firstLineChars="200"/>
        <w:rPr>
          <w:rFonts w:hint="eastAsia"/>
          <w:color w:val="auto"/>
          <w:highlight w:val="none"/>
          <w:lang w:val="en-US" w:eastAsia="zh-CN"/>
        </w:rPr>
      </w:pPr>
      <w:r>
        <w:rPr>
          <w:rFonts w:hint="eastAsia"/>
          <w:color w:val="auto"/>
          <w:highlight w:val="none"/>
          <w:lang w:val="en-US" w:eastAsia="zh-CN"/>
        </w:rPr>
        <w:t>3.获奖文件能够分辨专业类别的，以获奖文件为准；获奖文件中无法分辨专业类别的，须提供奖项申报材料（省级相应行政主管部门、省级协会盖章的相应材料）；仍然无法辨别专业类别的，须提供获奖项目的中标通知书或合同作为证明材料。</w:t>
      </w:r>
    </w:p>
    <w:p>
      <w:pPr>
        <w:snapToGrid w:val="0"/>
        <w:spacing w:line="360" w:lineRule="auto"/>
        <w:ind w:firstLine="420" w:firstLineChars="200"/>
        <w:rPr>
          <w:rFonts w:ascii="仿宋_GB2312" w:hAnsi="仿宋_GB2312" w:cs="仿宋_GB2312"/>
          <w:color w:val="auto"/>
          <w:sz w:val="21"/>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6</w:t>
      </w:r>
      <w:r>
        <w:rPr>
          <w:rFonts w:hint="eastAsia" w:ascii="Times New Roman" w:hAnsi="Times New Roman" w:eastAsia="黑体"/>
          <w:b w:val="0"/>
          <w:bCs w:val="0"/>
          <w:color w:val="auto"/>
          <w:sz w:val="24"/>
          <w:highlight w:val="none"/>
        </w:rPr>
        <w:t>）独立投标人（施工资质）或联合体中施工单位标准化工地情况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5"/>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请附标准化工地证明资料复印件（具体要求见本招标文件第三章评标办法）。</w:t>
      </w:r>
    </w:p>
    <w:p>
      <w:pPr>
        <w:pStyle w:val="5"/>
        <w:jc w:val="left"/>
        <w:rPr>
          <w:rFonts w:hint="eastAsia" w:ascii="Times New Roman" w:hAnsi="Times New Roman" w:eastAsia="黑体"/>
          <w:b w:val="0"/>
          <w:bCs w:val="0"/>
          <w:color w:val="auto"/>
          <w:sz w:val="24"/>
          <w:highlight w:val="none"/>
        </w:rPr>
      </w:pPr>
      <w:bookmarkStart w:id="263" w:name="_Hlk53733018"/>
      <w:r>
        <w:rPr>
          <w:rFonts w:hint="eastAsia" w:ascii="Times New Roman" w:hAnsi="Times New Roman" w:eastAsia="黑体"/>
          <w:b w:val="0"/>
          <w:bCs w:val="0"/>
          <w:color w:val="auto"/>
          <w:sz w:val="24"/>
          <w:highlight w:val="none"/>
        </w:rPr>
        <w:br w:type="textWrapping"/>
      </w: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）独立投标人（设计资质）或联合体中设计单位信用评价情况</w:t>
      </w:r>
      <w:bookmarkEnd w:id="263"/>
    </w:p>
    <w:p>
      <w:pPr>
        <w:ind w:firstLine="435"/>
        <w:rPr>
          <w:rFonts w:hint="eastAsia"/>
          <w:color w:val="auto"/>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noWrap w:val="0"/>
            <w:vAlign w:val="top"/>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备注</w:t>
            </w:r>
          </w:p>
        </w:tc>
        <w:tc>
          <w:tcPr>
            <w:tcW w:w="5953" w:type="dxa"/>
            <w:noWrap w:val="0"/>
            <w:vAlign w:val="top"/>
          </w:tcPr>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p>
        </w:tc>
      </w:tr>
    </w:tbl>
    <w:p>
      <w:pPr>
        <w:rPr>
          <w:rFonts w:hint="eastAsia"/>
          <w:color w:val="auto"/>
          <w:highlight w:val="none"/>
          <w:lang w:val="zh-CN" w:eastAsia="zh-CN"/>
        </w:rPr>
      </w:pPr>
      <w:r>
        <w:rPr>
          <w:rFonts w:hint="eastAsia"/>
          <w:color w:val="auto"/>
          <w:highlight w:val="none"/>
          <w:lang w:val="zh-CN" w:eastAsia="zh-CN"/>
        </w:rPr>
        <w:t>注：设计单位信用评价结果未公布之前，投标人无需填写本表。若设计单位有</w:t>
      </w:r>
      <w:r>
        <w:rPr>
          <w:rFonts w:hint="eastAsia"/>
          <w:color w:val="auto"/>
          <w:highlight w:val="none"/>
          <w:lang w:val="en-US" w:eastAsia="zh-CN"/>
        </w:rPr>
        <w:t>不良信用信息</w:t>
      </w:r>
      <w:r>
        <w:rPr>
          <w:rFonts w:hint="eastAsia"/>
          <w:color w:val="auto"/>
          <w:highlight w:val="none"/>
          <w:lang w:val="zh-CN" w:eastAsia="zh-CN"/>
        </w:rPr>
        <w:t>的，则需附设计单位</w:t>
      </w:r>
      <w:r>
        <w:rPr>
          <w:rFonts w:hint="eastAsia"/>
          <w:color w:val="auto"/>
          <w:highlight w:val="none"/>
          <w:lang w:val="en-US" w:eastAsia="zh-CN"/>
        </w:rPr>
        <w:t>不良信用信息</w:t>
      </w:r>
      <w:r>
        <w:rPr>
          <w:rFonts w:hint="eastAsia"/>
          <w:color w:val="auto"/>
          <w:highlight w:val="none"/>
          <w:lang w:val="zh-CN" w:eastAsia="zh-CN"/>
        </w:rPr>
        <w:t>证明资料复印件（具体要求见本招标文件第三章评标办法）。如设计单位无</w:t>
      </w:r>
      <w:r>
        <w:rPr>
          <w:rFonts w:hint="eastAsia"/>
          <w:color w:val="auto"/>
          <w:highlight w:val="none"/>
          <w:lang w:val="en-US" w:eastAsia="zh-CN"/>
        </w:rPr>
        <w:t>不良信用信息</w:t>
      </w:r>
      <w:r>
        <w:rPr>
          <w:rFonts w:hint="eastAsia"/>
          <w:color w:val="auto"/>
          <w:highlight w:val="none"/>
          <w:lang w:val="zh-CN" w:eastAsia="zh-CN"/>
        </w:rPr>
        <w:t>的，投标人需注明“我公司在扣分有效期内无</w:t>
      </w:r>
      <w:r>
        <w:rPr>
          <w:rFonts w:hint="eastAsia"/>
          <w:color w:val="auto"/>
          <w:highlight w:val="none"/>
          <w:lang w:val="en-US" w:eastAsia="zh-CN"/>
        </w:rPr>
        <w:t>不良信用信息</w:t>
      </w:r>
      <w:r>
        <w:rPr>
          <w:rFonts w:hint="eastAsia"/>
          <w:color w:val="auto"/>
          <w:highlight w:val="none"/>
          <w:lang w:val="zh-CN" w:eastAsia="zh-CN"/>
        </w:rPr>
        <w:t>”。</w:t>
      </w:r>
    </w:p>
    <w:p>
      <w:pPr>
        <w:rPr>
          <w:color w:val="auto"/>
          <w:highlight w:val="none"/>
          <w:lang w:val="zh-CN"/>
        </w:rPr>
      </w:pPr>
    </w:p>
    <w:p>
      <w:pPr>
        <w:rPr>
          <w:color w:val="auto"/>
          <w:highlight w:val="none"/>
          <w:lang w:val="zh-CN"/>
        </w:rPr>
        <w:sectPr>
          <w:pgSz w:w="11907" w:h="16840"/>
          <w:pgMar w:top="1418" w:right="1418" w:bottom="1418" w:left="1418" w:header="851" w:footer="992" w:gutter="0"/>
          <w:cols w:space="720" w:num="1"/>
          <w:docGrid w:linePitch="326" w:charSpace="0"/>
        </w:sect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）独立投标人（施工资质）或联合体中施工单位施工项目季度考评综合优良率情况</w:t>
      </w:r>
    </w:p>
    <w:p>
      <w:pPr>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w:t>
            </w:r>
            <w:r>
              <w:rPr>
                <w:rFonts w:hint="eastAsia" w:ascii="Times New Roman" w:hAnsi="Times New Roman" w:eastAsia="宋体" w:cs="Times New Roman"/>
                <w:color w:val="auto"/>
                <w:szCs w:val="21"/>
                <w:highlight w:val="none"/>
              </w:rPr>
              <w:t>施工项目季度考评综合优良率评价结果</w:t>
            </w: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仿宋_GB2312" w:cs="Calibri"/>
                <w:color w:val="auto"/>
                <w:szCs w:val="21"/>
                <w:highlight w:val="none"/>
                <w:lang w:eastAsia="zh-CN"/>
              </w:rPr>
            </w:pPr>
            <w:r>
              <w:rPr>
                <w:rFonts w:hint="eastAsia" w:ascii="Times New Roman" w:hAnsi="Times New Roman" w:eastAsia="宋体" w:cs="Times New Roman"/>
                <w:color w:val="auto"/>
                <w:szCs w:val="21"/>
                <w:highlight w:val="none"/>
              </w:rPr>
              <w:t>请附“湖南省智慧住建云—湖南省建筑市场监管公共服务平台”上查询的</w:t>
            </w:r>
            <w:r>
              <w:rPr>
                <w:rFonts w:hint="eastAsia" w:ascii="Times New Roman" w:hAnsi="Times New Roman" w:eastAsia="宋体" w:cs="Times New Roman"/>
                <w:bCs w:val="0"/>
                <w:color w:val="auto"/>
                <w:szCs w:val="21"/>
                <w:highlight w:val="none"/>
              </w:rPr>
              <w:t>企业</w:t>
            </w:r>
            <w:r>
              <w:rPr>
                <w:rFonts w:hint="eastAsia" w:ascii="Times New Roman" w:hAnsi="Times New Roman" w:eastAsia="宋体" w:cs="Times New Roman"/>
                <w:color w:val="auto"/>
                <w:szCs w:val="21"/>
                <w:highlight w:val="none"/>
              </w:rPr>
              <w:t>施工项目季度考评综合优良率</w:t>
            </w:r>
            <w:r>
              <w:rPr>
                <w:rFonts w:hint="eastAsia" w:ascii="Times New Roman" w:hAnsi="Times New Roman" w:eastAsia="宋体" w:cs="Times New Roman"/>
                <w:bCs w:val="0"/>
                <w:color w:val="auto"/>
                <w:szCs w:val="21"/>
                <w:highlight w:val="none"/>
              </w:rPr>
              <w:t>评价结果</w:t>
            </w:r>
            <w:r>
              <w:rPr>
                <w:rFonts w:hint="eastAsia" w:ascii="Times New Roman" w:hAnsi="Times New Roman" w:eastAsia="宋体" w:cs="Times New Roman"/>
                <w:color w:val="auto"/>
                <w:szCs w:val="21"/>
                <w:highlight w:val="none"/>
              </w:rPr>
              <w:t>详细信息网页截图</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省外企业无施工项目季度考评综合优良率查询结果的，可以提供注册地省级住房和城乡建设部门提供的施工项目季度考评综合优良率得分作为评审依据</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官网查询截图）</w:t>
            </w:r>
            <w:r>
              <w:rPr>
                <w:rFonts w:hint="eastAsia" w:ascii="Times New Roman" w:hAnsi="Times New Roman"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没有参</w:t>
            </w:r>
            <w:r>
              <w:rPr>
                <w:rFonts w:hint="eastAsia" w:ascii="Times New Roman" w:hAnsi="Times New Roman" w:eastAsia="宋体" w:cs="Times New Roman"/>
                <w:color w:val="auto"/>
                <w:szCs w:val="21"/>
                <w:highlight w:val="none"/>
              </w:rPr>
              <w:t>加</w:t>
            </w:r>
            <w:r>
              <w:rPr>
                <w:rFonts w:hint="eastAsia" w:ascii="Times New Roman" w:hAnsi="Times New Roman" w:eastAsia="宋体" w:cs="Times New Roman"/>
                <w:color w:val="auto"/>
                <w:kern w:val="2"/>
                <w:sz w:val="21"/>
                <w:szCs w:val="21"/>
                <w:highlight w:val="none"/>
              </w:rPr>
              <w:t>现场考评综合优良率</w:t>
            </w:r>
            <w:r>
              <w:rPr>
                <w:rFonts w:hint="eastAsia" w:ascii="Times New Roman" w:hAnsi="Times New Roman" w:eastAsia="宋体" w:cs="Times New Roman"/>
                <w:color w:val="auto"/>
                <w:szCs w:val="21"/>
                <w:highlight w:val="none"/>
              </w:rPr>
              <w:t>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Times New Roman" w:hAnsi="Times New Roman" w:eastAsia="宋体" w:cs="Times New Roman"/>
                <w:color w:val="auto"/>
                <w:highlight w:val="none"/>
              </w:rPr>
              <w:t>没</w:t>
            </w:r>
            <w:r>
              <w:rPr>
                <w:rFonts w:hint="eastAsia" w:ascii="Times New Roman" w:hAnsi="Times New Roman" w:eastAsia="宋体" w:cs="Times New Roman"/>
                <w:color w:val="auto"/>
                <w:szCs w:val="24"/>
                <w:highlight w:val="none"/>
              </w:rPr>
              <w:t>有参加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请填写“未</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”，已</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w:t>
            </w:r>
          </w:p>
        </w:tc>
      </w:tr>
    </w:tbl>
    <w:p>
      <w:pPr>
        <w:pStyle w:val="5"/>
        <w:rPr>
          <w:rFonts w:hint="eastAsia" w:ascii="Times New Roman" w:hAnsi="Times New Roman" w:eastAsia="黑体"/>
          <w:b w:val="0"/>
          <w:bCs w:val="0"/>
          <w:color w:val="auto"/>
          <w:sz w:val="24"/>
          <w:highlight w:val="none"/>
        </w:rPr>
      </w:pPr>
    </w:p>
    <w:p>
      <w:pPr>
        <w:pStyle w:val="5"/>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9</w:t>
      </w:r>
      <w:r>
        <w:rPr>
          <w:rFonts w:hint="eastAsia" w:ascii="Times New Roman" w:hAnsi="Times New Roman" w:eastAsia="黑体"/>
          <w:b w:val="0"/>
          <w:bCs w:val="0"/>
          <w:color w:val="auto"/>
          <w:sz w:val="24"/>
          <w:highlight w:val="none"/>
        </w:rPr>
        <w:t>）独立投标人（施工资质）或联合体中施工单位信用评价情况</w:t>
      </w:r>
    </w:p>
    <w:p>
      <w:pPr>
        <w:ind w:firstLine="435"/>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官网查询截图）</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pStyle w:val="5"/>
        <w:rPr>
          <w:rFonts w:hint="eastAsia" w:ascii="Times New Roman" w:hAnsi="Times New Roman" w:eastAsia="黑体"/>
          <w:b w:val="0"/>
          <w:bCs w:val="0"/>
          <w:color w:val="auto"/>
          <w:sz w:val="24"/>
          <w:highlight w:val="none"/>
        </w:rPr>
      </w:pPr>
    </w:p>
    <w:p>
      <w:pPr>
        <w:pStyle w:val="5"/>
        <w:jc w:val="left"/>
        <w:rPr>
          <w:rFonts w:hint="eastAsia" w:ascii="Times New Roman" w:hAnsi="Times New Roman" w:eastAsia="黑体"/>
          <w:b w:val="0"/>
          <w:bCs w:val="0"/>
          <w:color w:val="auto"/>
          <w:sz w:val="24"/>
          <w:highlight w:val="none"/>
        </w:rPr>
      </w:pPr>
      <w:bookmarkStart w:id="264" w:name="_Toc300678589"/>
      <w:r>
        <w:rPr>
          <w:rFonts w:hint="eastAsia" w:ascii="Times New Roman" w:hAnsi="Times New Roman" w:eastAsia="黑体"/>
          <w:b w:val="0"/>
          <w:bCs w:val="0"/>
          <w:color w:val="auto"/>
          <w:sz w:val="24"/>
          <w:highlight w:val="none"/>
        </w:rPr>
        <w:t>（1</w:t>
      </w:r>
      <w:r>
        <w:rPr>
          <w:rFonts w:hint="eastAsia" w:ascii="Times New Roman" w:hAnsi="Times New Roman" w:eastAsia="黑体"/>
          <w:b w:val="0"/>
          <w:bCs w:val="0"/>
          <w:color w:val="auto"/>
          <w:sz w:val="24"/>
          <w:highlight w:val="none"/>
          <w:lang w:val="en-US" w:eastAsia="zh-CN"/>
        </w:rPr>
        <w:t>0</w:t>
      </w:r>
      <w:r>
        <w:rPr>
          <w:rFonts w:hint="eastAsia" w:ascii="Times New Roman" w:hAnsi="Times New Roman" w:eastAsia="黑体"/>
          <w:b w:val="0"/>
          <w:bCs w:val="0"/>
          <w:color w:val="auto"/>
          <w:sz w:val="24"/>
          <w:highlight w:val="none"/>
        </w:rPr>
        <w:t>）</w:t>
      </w:r>
      <w:bookmarkEnd w:id="264"/>
      <w:bookmarkStart w:id="265" w:name="_Hlk53729905"/>
      <w:bookmarkStart w:id="266" w:name="_Hlk53733054"/>
      <w:r>
        <w:rPr>
          <w:rFonts w:hint="eastAsia" w:ascii="Times New Roman" w:hAnsi="Times New Roman" w:eastAsia="黑体"/>
          <w:b w:val="0"/>
          <w:bCs w:val="0"/>
          <w:color w:val="auto"/>
          <w:sz w:val="24"/>
          <w:highlight w:val="none"/>
        </w:rPr>
        <w:t>拟任工程总承包项目负责人</w:t>
      </w:r>
      <w:bookmarkEnd w:id="265"/>
      <w:bookmarkStart w:id="267" w:name="_Hlk53730093"/>
      <w:bookmarkStart w:id="268" w:name="_Toc300678591"/>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267"/>
      <w:r>
        <w:rPr>
          <w:rFonts w:hint="eastAsia" w:ascii="Times New Roman" w:hAnsi="Times New Roman" w:eastAsia="黑体"/>
          <w:b w:val="0"/>
          <w:bCs w:val="0"/>
          <w:color w:val="auto"/>
          <w:sz w:val="24"/>
          <w:highlight w:val="none"/>
        </w:rPr>
        <w:t>复印件</w:t>
      </w:r>
    </w:p>
    <w:bookmarkEnd w:id="266"/>
    <w:p>
      <w:pPr>
        <w:ind w:firstLine="210" w:firstLineChars="100"/>
        <w:rPr>
          <w:rFonts w:hint="eastAsia"/>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jc w:val="center"/>
        <w:rPr>
          <w:rFonts w:hint="eastAsia" w:ascii="Times New Roman" w:hAnsi="Times New Roman" w:eastAsia="黑体"/>
          <w:b w:val="0"/>
          <w:bCs w:val="0"/>
          <w:color w:val="auto"/>
          <w:sz w:val="30"/>
          <w:highlight w:val="none"/>
        </w:rPr>
      </w:pPr>
      <w:r>
        <w:rPr>
          <w:rFonts w:eastAsia="黑体"/>
          <w:b w:val="0"/>
          <w:bCs w:val="0"/>
          <w:color w:val="auto"/>
          <w:sz w:val="30"/>
          <w:szCs w:val="30"/>
          <w:highlight w:val="none"/>
        </w:rPr>
        <w:br w:type="page"/>
      </w:r>
      <w:bookmarkStart w:id="269" w:name="_Toc69199942"/>
      <w:bookmarkStart w:id="270"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企业资信及履约能力自评表</w:t>
      </w:r>
      <w:bookmarkEnd w:id="269"/>
    </w:p>
    <w:bookmarkEnd w:id="270"/>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独立投标人（设计资质）或联合体中设计单位</w:t>
            </w:r>
          </w:p>
        </w:tc>
        <w:tc>
          <w:tcPr>
            <w:tcW w:w="611"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拟任工程总承包项目负责人</w:t>
            </w: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bookmarkEnd w:id="268"/>
    <w:p>
      <w:pPr>
        <w:snapToGrid w:val="0"/>
        <w:spacing w:line="360" w:lineRule="auto"/>
        <w:rPr>
          <w:color w:val="auto"/>
          <w:highlight w:val="none"/>
        </w:rPr>
      </w:pPr>
      <w:bookmarkStart w:id="271" w:name="_Toc300678592"/>
      <w:r>
        <w:rPr>
          <w:color w:val="auto"/>
          <w:highlight w:val="none"/>
        </w:rPr>
        <w:br w:type="page"/>
      </w:r>
    </w:p>
    <w:p>
      <w:pPr>
        <w:pStyle w:val="3"/>
        <w:spacing w:before="0" w:after="0" w:line="360" w:lineRule="auto"/>
        <w:jc w:val="center"/>
        <w:rPr>
          <w:rFonts w:ascii="Times New Roman" w:hAnsi="Times New Roman" w:eastAsia="黑体"/>
          <w:b w:val="0"/>
          <w:bCs w:val="0"/>
          <w:color w:val="auto"/>
          <w:sz w:val="30"/>
          <w:szCs w:val="30"/>
          <w:highlight w:val="none"/>
        </w:rPr>
      </w:pPr>
      <w:bookmarkStart w:id="272" w:name="_Toc69199943"/>
      <w:bookmarkStart w:id="273" w:name="_Toc9178588"/>
      <w:r>
        <w:rPr>
          <w:rFonts w:ascii="Times New Roman" w:hAnsi="Times New Roman" w:eastAsia="黑体"/>
          <w:b w:val="0"/>
          <w:bCs w:val="0"/>
          <w:color w:val="auto"/>
          <w:sz w:val="30"/>
          <w:szCs w:val="30"/>
          <w:highlight w:val="none"/>
        </w:rPr>
        <w:t>10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271"/>
      <w:bookmarkEnd w:id="272"/>
      <w:bookmarkEnd w:id="273"/>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工程总承包项目负责人、</w:t>
      </w:r>
      <w:r>
        <w:rPr>
          <w:rFonts w:hint="eastAsia"/>
          <w:color w:val="auto"/>
          <w:highlight w:val="none"/>
        </w:rPr>
        <w:t>施工项目负责人、设计项目</w:t>
      </w:r>
      <w:r>
        <w:rPr>
          <w:color w:val="auto"/>
          <w:highlight w:val="none"/>
        </w:rPr>
        <w:t>负责人能够到位履行职责，如不能到位，我方自愿接受处罚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一旦我方中标，坚决维护农民工的合法权益，按时足额支付农民工工资，决不拖欠。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color w:val="auto"/>
          <w:kern w:val="0"/>
          <w:sz w:val="32"/>
          <w:szCs w:val="32"/>
          <w:highlight w:val="none"/>
        </w:rPr>
      </w:pPr>
    </w:p>
    <w:p>
      <w:pPr>
        <w:widowControl/>
        <w:jc w:val="left"/>
        <w:rPr>
          <w:rFonts w:eastAsia="黑体"/>
          <w:bCs/>
          <w:color w:val="auto"/>
          <w:kern w:val="0"/>
          <w:sz w:val="32"/>
          <w:szCs w:val="32"/>
          <w:highlight w:val="none"/>
        </w:rPr>
      </w:pPr>
      <w:r>
        <w:rPr>
          <w:rFonts w:eastAsia="黑体"/>
          <w:bCs/>
          <w:color w:val="auto"/>
          <w:kern w:val="0"/>
          <w:sz w:val="32"/>
          <w:szCs w:val="32"/>
          <w:highlight w:val="none"/>
        </w:rPr>
        <w:br w:type="page"/>
      </w:r>
    </w:p>
    <w:p>
      <w:pPr>
        <w:jc w:val="center"/>
        <w:rPr>
          <w:rFonts w:eastAsia="黑体"/>
          <w:bCs/>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4" w:name="_Toc6919994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274"/>
    </w:p>
    <w:tbl>
      <w:tblPr>
        <w:tblStyle w:val="4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36"/>
        <w:gridCol w:w="1114"/>
        <w:gridCol w:w="115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投标人</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投标报价（万元）</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工程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业绩</w:t>
            </w:r>
          </w:p>
        </w:tc>
        <w:tc>
          <w:tcPr>
            <w:tcW w:w="16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用于资格要求的业绩</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奖项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情况</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标准化工地</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拟任工程总承包项目负责人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拟任施工项目负责人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拟任设计项目</w:t>
            </w:r>
            <w:r>
              <w:rPr>
                <w:rFonts w:hint="default" w:ascii="Calibri" w:hAnsi="Calibri" w:cs="Calibri"/>
                <w:color w:val="auto"/>
                <w:kern w:val="0"/>
                <w:szCs w:val="21"/>
                <w:highlight w:val="none"/>
              </w:rPr>
              <w:t>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保信息</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担保机构</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经营地址</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联系电话</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bl>
    <w:p>
      <w:pPr>
        <w:rPr>
          <w:rFonts w:eastAsia="仿宋"/>
          <w:color w:val="auto"/>
          <w:highlight w:val="none"/>
        </w:rPr>
      </w:pPr>
    </w:p>
    <w:p>
      <w:pPr>
        <w:widowControl/>
        <w:jc w:val="center"/>
        <w:rPr>
          <w:rFonts w:eastAsia="黑体"/>
          <w:bCs/>
          <w:color w:val="auto"/>
          <w:kern w:val="0"/>
          <w:sz w:val="32"/>
          <w:szCs w:val="32"/>
          <w:highlight w:val="none"/>
        </w:rPr>
        <w:sectPr>
          <w:pgSz w:w="11907" w:h="16840"/>
          <w:pgMar w:top="1418" w:right="1418" w:bottom="1418" w:left="1418" w:header="851" w:footer="992" w:gutter="0"/>
          <w:cols w:space="720" w:num="1"/>
          <w:docGrid w:linePitch="326" w:charSpace="0"/>
        </w:sect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5" w:name="_Toc9178589"/>
      <w:bookmarkStart w:id="276" w:name="_Toc69199945"/>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275"/>
      <w:bookmarkEnd w:id="276"/>
    </w:p>
    <w:p>
      <w:pPr>
        <w:widowControl/>
        <w:rPr>
          <w:color w:val="auto"/>
          <w:highlight w:val="none"/>
        </w:rPr>
      </w:pPr>
    </w:p>
    <w:p>
      <w:pPr>
        <w:widowControl/>
        <w:rPr>
          <w:color w:val="auto"/>
          <w:highlight w:val="none"/>
        </w:rPr>
      </w:pPr>
    </w:p>
    <w:p>
      <w:pPr>
        <w:widowControl/>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pStyle w:val="2"/>
        <w:jc w:val="center"/>
        <w:rPr>
          <w:rFonts w:ascii="Times New Roman" w:hAnsi="Times New Roman" w:eastAsia="黑体"/>
          <w:b w:val="0"/>
          <w:color w:val="auto"/>
          <w:highlight w:val="none"/>
        </w:rPr>
      </w:pPr>
      <w:bookmarkStart w:id="277" w:name="_Toc300678593"/>
      <w:bookmarkStart w:id="278" w:name="_Toc69199946"/>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277"/>
      <w:r>
        <w:rPr>
          <w:rFonts w:ascii="Times New Roman" w:hAnsi="Times New Roman" w:eastAsia="黑体"/>
          <w:b w:val="0"/>
          <w:color w:val="auto"/>
          <w:highlight w:val="none"/>
        </w:rPr>
        <w:t>格式</w:t>
      </w:r>
      <w:bookmarkEnd w:id="278"/>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spacing w:line="360" w:lineRule="auto"/>
        <w:jc w:val="center"/>
        <w:rPr>
          <w:rFonts w:eastAsia="黑体"/>
          <w:color w:val="auto"/>
          <w:sz w:val="24"/>
          <w:szCs w:val="28"/>
          <w:highlight w:val="none"/>
        </w:rPr>
      </w:pPr>
      <w:r>
        <w:rPr>
          <w:rFonts w:eastAsia="黑体"/>
          <w:color w:val="auto"/>
          <w:sz w:val="24"/>
          <w:szCs w:val="28"/>
          <w:highlight w:val="none"/>
        </w:rPr>
        <w:t>投标人：</w:t>
      </w:r>
      <w:r>
        <w:rPr>
          <w:rFonts w:eastAsia="黑体"/>
          <w:color w:val="auto"/>
          <w:sz w:val="24"/>
          <w:szCs w:val="28"/>
          <w:highlight w:val="none"/>
          <w:u w:val="single"/>
        </w:rPr>
        <w:t xml:space="preserve">                         </w:t>
      </w:r>
      <w:r>
        <w:rPr>
          <w:rFonts w:eastAsia="黑体"/>
          <w:color w:val="auto"/>
          <w:sz w:val="24"/>
          <w:szCs w:val="28"/>
          <w:highlight w:val="none"/>
        </w:rPr>
        <w:t>（盖单位章）</w:t>
      </w:r>
    </w:p>
    <w:p>
      <w:pPr>
        <w:jc w:val="center"/>
        <w:rPr>
          <w:rFonts w:eastAsia="黑体"/>
          <w:color w:val="auto"/>
          <w:sz w:val="24"/>
          <w:szCs w:val="28"/>
          <w:highlight w:val="none"/>
        </w:rPr>
      </w:pPr>
    </w:p>
    <w:p>
      <w:pPr>
        <w:jc w:val="center"/>
        <w:rPr>
          <w:rFonts w:eastAsia="黑体"/>
          <w:color w:val="auto"/>
          <w:sz w:val="24"/>
          <w:szCs w:val="28"/>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p>
      <w:pPr>
        <w:jc w:val="center"/>
        <w:rPr>
          <w:rFonts w:hint="eastAsia" w:eastAsia="黑体"/>
          <w:color w:val="auto"/>
          <w:sz w:val="24"/>
          <w:szCs w:val="28"/>
          <w:highlight w:val="none"/>
        </w:rPr>
      </w:pPr>
    </w:p>
    <w:p>
      <w:pPr>
        <w:snapToGrid w:val="0"/>
        <w:spacing w:before="156" w:beforeLines="50" w:after="156" w:afterLines="50" w:line="360" w:lineRule="auto"/>
        <w:jc w:val="center"/>
        <w:rPr>
          <w:rFonts w:hint="eastAsia" w:ascii="Times New Roman" w:hAnsi="Times New Roman" w:eastAsia="黑体" w:cs="Times New Roman"/>
          <w:b w:val="0"/>
          <w:bCs w:val="0"/>
          <w:color w:val="auto"/>
          <w:kern w:val="2"/>
          <w:sz w:val="30"/>
          <w:szCs w:val="30"/>
          <w:highlight w:val="none"/>
          <w:lang w:val="en-US" w:eastAsia="zh-CN" w:bidi="ar-SA"/>
        </w:rPr>
      </w:pPr>
      <w:r>
        <w:rPr>
          <w:rFonts w:eastAsia="黑体"/>
          <w:color w:val="auto"/>
          <w:sz w:val="28"/>
          <w:szCs w:val="28"/>
          <w:highlight w:val="none"/>
        </w:rPr>
        <w:br w:type="page"/>
      </w:r>
      <w:r>
        <w:rPr>
          <w:rFonts w:hint="eastAsia" w:ascii="Times New Roman" w:hAnsi="Times New Roman" w:eastAsia="黑体" w:cs="Times New Roman"/>
          <w:b w:val="0"/>
          <w:bCs w:val="0"/>
          <w:color w:val="auto"/>
          <w:kern w:val="2"/>
          <w:sz w:val="30"/>
          <w:szCs w:val="30"/>
          <w:highlight w:val="none"/>
          <w:lang w:val="en-US" w:eastAsia="zh-CN" w:bidi="ar-SA"/>
        </w:rPr>
        <w:t>一、投标报价汇总表</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125"/>
        <w:gridCol w:w="2073"/>
        <w:gridCol w:w="2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pacing w:before="64" w:beforeAutospacing="0" w:after="0" w:afterAutospacing="0" w:line="360" w:lineRule="auto"/>
              <w:ind w:left="0" w:right="-23"/>
              <w:jc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3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费用名称</w:t>
            </w:r>
          </w:p>
        </w:tc>
        <w:tc>
          <w:tcPr>
            <w:tcW w:w="2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金额（元）</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3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0"/>
                <w:szCs w:val="20"/>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绿色施工安全防护措施项目费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一</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建筑安装工程费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设备购置费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二</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工程总承包其他费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三</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暂列金额</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cs="宋体"/>
                <w:color w:val="auto"/>
                <w:szCs w:val="21"/>
                <w:highlight w:val="none"/>
              </w:rPr>
              <w:t>投标总报价</w:t>
            </w:r>
          </w:p>
        </w:tc>
        <w:tc>
          <w:tcPr>
            <w:tcW w:w="4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人民币大写：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p>
            <w:pPr>
              <w:pStyle w:val="262"/>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宋体" w:hAnsi="宋体" w:cs="宋体"/>
                <w:color w:val="auto"/>
                <w:szCs w:val="21"/>
                <w:highlight w:val="none"/>
              </w:rPr>
              <w:t>小写：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tc>
      </w:tr>
    </w:tbl>
    <w:p>
      <w:pPr>
        <w:autoSpaceDE w:val="0"/>
        <w:autoSpaceDN w:val="0"/>
        <w:adjustRightInd w:val="0"/>
        <w:spacing w:before="64" w:line="360" w:lineRule="auto"/>
        <w:ind w:right="-23" w:firstLine="420" w:firstLineChars="200"/>
        <w:jc w:val="left"/>
        <w:rPr>
          <w:color w:val="auto"/>
          <w:kern w:val="0"/>
          <w:szCs w:val="21"/>
          <w:highlight w:val="none"/>
        </w:rPr>
      </w:pPr>
    </w:p>
    <w:p>
      <w:pPr>
        <w:widowControl/>
        <w:jc w:val="both"/>
        <w:rPr>
          <w:rFonts w:hint="default" w:eastAsia="宋体"/>
          <w:color w:val="auto"/>
          <w:kern w:val="0"/>
          <w:szCs w:val="21"/>
          <w:highlight w:val="none"/>
          <w:lang w:val="en-US" w:eastAsia="zh-CN"/>
        </w:rPr>
      </w:pPr>
      <w:r>
        <w:rPr>
          <w:rFonts w:hint="eastAsia"/>
          <w:color w:val="auto"/>
          <w:kern w:val="0"/>
          <w:szCs w:val="21"/>
          <w:highlight w:val="none"/>
          <w:lang w:val="en-US" w:eastAsia="zh-CN"/>
        </w:rPr>
        <w:t>注：本表由招标人参照使用，招标人可根据项目情况对表格中的内容进行调整。</w:t>
      </w:r>
    </w:p>
    <w:p>
      <w:pPr>
        <w:widowControl/>
        <w:jc w:val="both"/>
        <w:rPr>
          <w:rFonts w:ascii="黑体" w:hAnsi="黑体" w:eastAsia="黑体"/>
          <w:color w:val="auto"/>
          <w:sz w:val="24"/>
          <w:highlight w:val="none"/>
        </w:rPr>
        <w:sectPr>
          <w:footerReference r:id="rId12" w:type="default"/>
          <w:pgSz w:w="11907" w:h="16840"/>
          <w:pgMar w:top="1020" w:right="1020" w:bottom="1020" w:left="1020" w:header="851" w:footer="1020" w:gutter="0"/>
          <w:cols w:space="720" w:num="1"/>
          <w:docGrid w:linePitch="326" w:charSpace="0"/>
        </w:sectPr>
      </w:pPr>
    </w:p>
    <w:p>
      <w:pPr>
        <w:widowControl/>
        <w:jc w:val="center"/>
        <w:rPr>
          <w:color w:val="auto"/>
          <w:kern w:val="0"/>
          <w:szCs w:val="21"/>
          <w:highlight w:val="none"/>
        </w:rPr>
      </w:pPr>
      <w:r>
        <w:rPr>
          <w:rFonts w:ascii="黑体" w:hAnsi="黑体" w:eastAsia="黑体"/>
          <w:color w:val="auto"/>
          <w:sz w:val="24"/>
          <w:highlight w:val="none"/>
        </w:rPr>
        <w:sym w:font="Wingdings 2" w:char="00A3"/>
      </w:r>
      <w:r>
        <w:rPr>
          <w:rFonts w:hint="eastAsia" w:ascii="宋体" w:hAnsi="宋体" w:cs="宋体"/>
          <w:b/>
          <w:bCs/>
          <w:color w:val="auto"/>
          <w:sz w:val="24"/>
          <w:highlight w:val="none"/>
          <w:shd w:val="clear" w:color="auto" w:fill="FFFFFF"/>
        </w:rPr>
        <w:t>二、投标报价内容及格式</w:t>
      </w:r>
    </w:p>
    <w:p>
      <w:pPr>
        <w:pStyle w:val="31"/>
        <w:tabs>
          <w:tab w:val="right" w:leader="dot" w:pos="8720"/>
        </w:tabs>
        <w:ind w:left="0" w:leftChars="0"/>
        <w:jc w:val="left"/>
        <w:rPr>
          <w:color w:val="auto"/>
          <w:highlight w:val="none"/>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1.</w:t>
      </w:r>
      <w:r>
        <w:rPr>
          <w:rFonts w:hint="eastAsia" w:ascii="宋体" w:hAnsi="宋体" w:cs="宋体"/>
          <w:b w:val="0"/>
          <w:bCs w:val="0"/>
          <w:color w:val="auto"/>
          <w:highlight w:val="none"/>
          <w:shd w:val="clear" w:color="auto" w:fill="FFFFFF"/>
        </w:rPr>
        <w:t xml:space="preserve">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内容</w:t>
      </w:r>
    </w:p>
    <w:p>
      <w:pPr>
        <w:autoSpaceDE w:val="0"/>
        <w:autoSpaceDN w:val="0"/>
        <w:adjustRightInd w:val="0"/>
        <w:spacing w:before="64" w:line="360" w:lineRule="auto"/>
        <w:ind w:right="-23"/>
        <w:jc w:val="left"/>
        <w:rPr>
          <w:color w:val="auto"/>
          <w:highlight w:val="none"/>
        </w:rPr>
      </w:pPr>
      <w:r>
        <w:rPr>
          <w:color w:val="auto"/>
          <w:highlight w:val="none"/>
        </w:rPr>
        <w:t xml:space="preserve">    （1） 投标总价封面；</w:t>
      </w:r>
    </w:p>
    <w:p>
      <w:pPr>
        <w:autoSpaceDE w:val="0"/>
        <w:autoSpaceDN w:val="0"/>
        <w:adjustRightInd w:val="0"/>
        <w:spacing w:before="64" w:line="360" w:lineRule="auto"/>
        <w:ind w:right="-23"/>
        <w:jc w:val="left"/>
        <w:rPr>
          <w:color w:val="auto"/>
          <w:highlight w:val="none"/>
        </w:rPr>
      </w:pPr>
      <w:r>
        <w:rPr>
          <w:color w:val="auto"/>
          <w:highlight w:val="none"/>
        </w:rPr>
        <w:t xml:space="preserve">    （2） 投标总价扉页</w:t>
      </w:r>
    </w:p>
    <w:p>
      <w:pPr>
        <w:autoSpaceDE w:val="0"/>
        <w:autoSpaceDN w:val="0"/>
        <w:adjustRightInd w:val="0"/>
        <w:spacing w:before="64" w:line="360" w:lineRule="auto"/>
        <w:ind w:right="-23"/>
        <w:jc w:val="left"/>
        <w:rPr>
          <w:color w:val="auto"/>
          <w:highlight w:val="none"/>
        </w:rPr>
      </w:pPr>
      <w:r>
        <w:rPr>
          <w:color w:val="auto"/>
          <w:highlight w:val="none"/>
        </w:rPr>
        <w:t xml:space="preserve">    （3） 总说明</w:t>
      </w:r>
    </w:p>
    <w:p>
      <w:pPr>
        <w:autoSpaceDE w:val="0"/>
        <w:autoSpaceDN w:val="0"/>
        <w:adjustRightInd w:val="0"/>
        <w:spacing w:before="64" w:line="360" w:lineRule="auto"/>
        <w:ind w:right="-23" w:firstLine="435"/>
        <w:jc w:val="left"/>
        <w:rPr>
          <w:color w:val="auto"/>
          <w:highlight w:val="none"/>
        </w:rPr>
      </w:pPr>
      <w:r>
        <w:rPr>
          <w:color w:val="auto"/>
          <w:highlight w:val="none"/>
        </w:rPr>
        <w:t xml:space="preserve">（4） </w:t>
      </w:r>
      <w:r>
        <w:rPr>
          <w:rFonts w:hint="eastAsia"/>
          <w:color w:val="auto"/>
          <w:highlight w:val="none"/>
        </w:rPr>
        <w:t>投标报价汇总表</w:t>
      </w:r>
    </w:p>
    <w:p>
      <w:pPr>
        <w:autoSpaceDE w:val="0"/>
        <w:autoSpaceDN w:val="0"/>
        <w:adjustRightInd w:val="0"/>
        <w:spacing w:before="64" w:line="360" w:lineRule="auto"/>
        <w:ind w:right="-23" w:firstLine="435"/>
        <w:jc w:val="left"/>
        <w:rPr>
          <w:color w:val="auto"/>
          <w:highlight w:val="none"/>
        </w:rPr>
      </w:pPr>
      <w:r>
        <w:rPr>
          <w:rFonts w:hint="eastAsia"/>
          <w:color w:val="auto"/>
          <w:highlight w:val="none"/>
        </w:rPr>
        <w:t>（5） 工程费汇总表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 xml:space="preserve">（6） </w:t>
      </w:r>
      <w:r>
        <w:rPr>
          <w:rFonts w:hint="eastAsia"/>
          <w:color w:val="auto"/>
          <w:highlight w:val="none"/>
        </w:rPr>
        <w:t>建设项目建筑安装工程费汇总表（选用）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w:t>
      </w:r>
      <w:r>
        <w:rPr>
          <w:rFonts w:hint="eastAsia"/>
          <w:color w:val="auto"/>
          <w:highlight w:val="none"/>
        </w:rPr>
        <w:t>7</w:t>
      </w:r>
      <w:r>
        <w:rPr>
          <w:color w:val="auto"/>
          <w:highlight w:val="none"/>
        </w:rPr>
        <w:t xml:space="preserve">） </w:t>
      </w:r>
      <w:r>
        <w:rPr>
          <w:rFonts w:hint="eastAsia"/>
          <w:color w:val="auto"/>
          <w:highlight w:val="none"/>
        </w:rPr>
        <w:t>单项工程建筑安装工程费汇总表（选用）</w:t>
      </w:r>
    </w:p>
    <w:p>
      <w:pPr>
        <w:autoSpaceDE w:val="0"/>
        <w:autoSpaceDN w:val="0"/>
        <w:adjustRightInd w:val="0"/>
        <w:spacing w:before="64" w:line="360" w:lineRule="auto"/>
        <w:ind w:right="-23" w:firstLine="420"/>
        <w:jc w:val="left"/>
        <w:rPr>
          <w:color w:val="auto"/>
          <w:highlight w:val="none"/>
        </w:rPr>
      </w:pPr>
      <w:r>
        <w:rPr>
          <w:color w:val="auto"/>
          <w:highlight w:val="none"/>
        </w:rPr>
        <w:t xml:space="preserve">（8） </w:t>
      </w:r>
      <w:r>
        <w:rPr>
          <w:rFonts w:hint="eastAsia"/>
          <w:color w:val="auto"/>
          <w:highlight w:val="none"/>
        </w:rPr>
        <w:t>建筑安装工程费清单及计价表（总价部分）</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9</w:t>
      </w:r>
      <w:r>
        <w:rPr>
          <w:color w:val="auto"/>
          <w:highlight w:val="none"/>
        </w:rPr>
        <w:t xml:space="preserve">） </w:t>
      </w:r>
      <w:r>
        <w:rPr>
          <w:rFonts w:hint="eastAsia"/>
          <w:color w:val="auto"/>
          <w:highlight w:val="none"/>
        </w:rPr>
        <w:t>建筑安装工程费清单及计价表（单价部分）</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hint="eastAsia"/>
          <w:color w:val="auto"/>
          <w:highlight w:val="none"/>
        </w:rPr>
        <w:t>10</w:t>
      </w:r>
      <w:r>
        <w:rPr>
          <w:color w:val="auto"/>
          <w:highlight w:val="none"/>
        </w:rPr>
        <w:t>）</w:t>
      </w:r>
      <w:r>
        <w:rPr>
          <w:rFonts w:hint="eastAsia"/>
          <w:color w:val="auto"/>
          <w:highlight w:val="none"/>
        </w:rPr>
        <w:t xml:space="preserve">设备购置费项目清单及计价表 </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11</w:t>
      </w:r>
      <w:r>
        <w:rPr>
          <w:color w:val="auto"/>
          <w:highlight w:val="none"/>
        </w:rPr>
        <w:t>）</w:t>
      </w:r>
      <w:r>
        <w:rPr>
          <w:rFonts w:hint="eastAsia"/>
          <w:color w:val="auto"/>
          <w:highlight w:val="none"/>
        </w:rPr>
        <w:t>专业工程暂估价计价表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2</w:t>
      </w:r>
      <w:r>
        <w:rPr>
          <w:color w:val="auto"/>
          <w:highlight w:val="none"/>
        </w:rPr>
        <w:t>）</w:t>
      </w:r>
      <w:r>
        <w:rPr>
          <w:rFonts w:hint="eastAsia"/>
          <w:color w:val="auto"/>
          <w:highlight w:val="none"/>
        </w:rPr>
        <w:t>材料暂估单价及调整表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3</w:t>
      </w:r>
      <w:r>
        <w:rPr>
          <w:color w:val="auto"/>
          <w:highlight w:val="none"/>
        </w:rPr>
        <w:t>）</w:t>
      </w:r>
      <w:r>
        <w:rPr>
          <w:rFonts w:hint="eastAsia"/>
          <w:color w:val="auto"/>
          <w:highlight w:val="none"/>
        </w:rPr>
        <w:t xml:space="preserve">工程总承包其他费项目清单及计价表 </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4</w:t>
      </w:r>
      <w:r>
        <w:rPr>
          <w:color w:val="auto"/>
          <w:highlight w:val="none"/>
        </w:rPr>
        <w:t>）</w:t>
      </w:r>
      <w:r>
        <w:rPr>
          <w:rFonts w:hint="eastAsia"/>
          <w:color w:val="auto"/>
          <w:highlight w:val="none"/>
        </w:rPr>
        <w:t>清单综合单价分析表（一）（选用）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5</w:t>
      </w:r>
      <w:r>
        <w:rPr>
          <w:color w:val="auto"/>
          <w:highlight w:val="none"/>
        </w:rPr>
        <w:t>）</w:t>
      </w:r>
      <w:r>
        <w:rPr>
          <w:rFonts w:hint="eastAsia"/>
          <w:color w:val="auto"/>
          <w:highlight w:val="none"/>
        </w:rPr>
        <w:t>清单综合单价分析表（二）（选用）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6</w:t>
      </w:r>
      <w:r>
        <w:rPr>
          <w:color w:val="auto"/>
          <w:highlight w:val="none"/>
        </w:rPr>
        <w:t>）</w:t>
      </w:r>
      <w:r>
        <w:rPr>
          <w:rFonts w:hint="eastAsia"/>
          <w:color w:val="auto"/>
          <w:highlight w:val="none"/>
        </w:rPr>
        <w:t>人工、材料、机械汇总表（选用）</w:t>
      </w:r>
    </w:p>
    <w:p>
      <w:pPr>
        <w:autoSpaceDE w:val="0"/>
        <w:autoSpaceDN w:val="0"/>
        <w:adjustRightInd w:val="0"/>
        <w:spacing w:before="64" w:line="360" w:lineRule="auto"/>
        <w:ind w:right="-23"/>
        <w:jc w:val="left"/>
        <w:rPr>
          <w:color w:val="auto"/>
          <w:highlight w:val="none"/>
        </w:rPr>
      </w:pPr>
    </w:p>
    <w:p>
      <w:pPr>
        <w:widowControl/>
        <w:jc w:val="both"/>
        <w:rPr>
          <w:rFonts w:hint="default" w:eastAsia="宋体"/>
          <w:color w:val="auto"/>
          <w:kern w:val="0"/>
          <w:szCs w:val="21"/>
          <w:highlight w:val="none"/>
          <w:lang w:val="en-US" w:eastAsia="zh-CN"/>
        </w:rPr>
      </w:pPr>
      <w:r>
        <w:rPr>
          <w:color w:val="auto"/>
          <w:highlight w:val="none"/>
        </w:rPr>
        <w:t xml:space="preserve">    </w:t>
      </w:r>
      <w:r>
        <w:rPr>
          <w:rFonts w:hint="eastAsia"/>
          <w:color w:val="auto"/>
          <w:highlight w:val="none"/>
        </w:rPr>
        <w:t>说明</w:t>
      </w:r>
      <w:r>
        <w:rPr>
          <w:color w:val="auto"/>
          <w:highlight w:val="none"/>
        </w:rPr>
        <w:t>：</w:t>
      </w:r>
      <w:r>
        <w:rPr>
          <w:rFonts w:hint="eastAsia"/>
          <w:color w:val="auto"/>
          <w:kern w:val="0"/>
          <w:szCs w:val="21"/>
          <w:highlight w:val="none"/>
          <w:lang w:val="en-US" w:eastAsia="zh-CN"/>
        </w:rPr>
        <w:t>由招标人参照使用，招标人可根据项目情况进行调整。</w:t>
      </w:r>
    </w:p>
    <w:p>
      <w:pPr>
        <w:autoSpaceDE w:val="0"/>
        <w:autoSpaceDN w:val="0"/>
        <w:adjustRightInd w:val="0"/>
        <w:spacing w:before="64" w:line="360" w:lineRule="auto"/>
        <w:ind w:right="-23"/>
        <w:jc w:val="left"/>
        <w:rPr>
          <w:color w:val="auto"/>
          <w:highlight w:val="none"/>
        </w:rPr>
      </w:pPr>
    </w:p>
    <w:p>
      <w:pPr>
        <w:widowControl/>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 xml:space="preserve">2.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格式</w:t>
      </w:r>
    </w:p>
    <w:p>
      <w:pPr>
        <w:spacing w:line="360" w:lineRule="auto"/>
        <w:ind w:firstLine="480" w:firstLineChars="200"/>
        <w:rPr>
          <w:rFonts w:eastAsia="黑体"/>
          <w:color w:val="auto"/>
          <w:sz w:val="24"/>
          <w:highlight w:val="none"/>
        </w:rPr>
      </w:pPr>
    </w:p>
    <w:p>
      <w:pPr>
        <w:spacing w:line="360" w:lineRule="auto"/>
        <w:ind w:firstLine="480" w:firstLineChars="200"/>
        <w:rPr>
          <w:color w:val="auto"/>
          <w:highlight w:val="none"/>
        </w:rPr>
      </w:pPr>
      <w:r>
        <w:rPr>
          <w:rFonts w:hint="eastAsia" w:eastAsia="黑体"/>
          <w:color w:val="auto"/>
          <w:sz w:val="24"/>
          <w:highlight w:val="none"/>
        </w:rPr>
        <w:t>说明：</w:t>
      </w:r>
      <w:r>
        <w:rPr>
          <w:rFonts w:hint="eastAsia" w:ascii="Times New Roman" w:hAnsi="Times New Roman" w:eastAsia="宋体" w:cs="Times New Roman"/>
          <w:color w:val="auto"/>
          <w:szCs w:val="21"/>
          <w:highlight w:val="none"/>
          <w:lang w:val="en-US" w:eastAsia="zh-CN"/>
        </w:rPr>
        <w:t>参</w:t>
      </w:r>
      <w:r>
        <w:rPr>
          <w:rFonts w:hint="eastAsia" w:ascii="宋体" w:hAnsi="宋体"/>
          <w:color w:val="auto"/>
          <w:szCs w:val="21"/>
          <w:highlight w:val="none"/>
        </w:rPr>
        <w:t>照</w:t>
      </w:r>
      <w:r>
        <w:rPr>
          <w:rFonts w:hint="eastAsia"/>
          <w:color w:val="auto"/>
          <w:szCs w:val="21"/>
          <w:highlight w:val="none"/>
        </w:rPr>
        <w:t>《关于印发〈湖南省建设工程总承包计价规则〉的通知》</w:t>
      </w:r>
      <w:r>
        <w:rPr>
          <w:color w:val="auto"/>
          <w:szCs w:val="21"/>
          <w:highlight w:val="none"/>
        </w:rPr>
        <w:t>（</w:t>
      </w:r>
      <w:r>
        <w:rPr>
          <w:rFonts w:hint="eastAsia"/>
          <w:color w:val="auto"/>
          <w:szCs w:val="21"/>
          <w:highlight w:val="none"/>
        </w:rPr>
        <w:t>湘建建函〔2023〕49号）</w:t>
      </w:r>
      <w:r>
        <w:rPr>
          <w:color w:val="auto"/>
          <w:highlight w:val="none"/>
        </w:rPr>
        <w:t>等文件规定的格式</w:t>
      </w:r>
      <w:r>
        <w:rPr>
          <w:rFonts w:hint="eastAsia"/>
          <w:color w:val="auto"/>
          <w:highlight w:val="none"/>
        </w:rPr>
        <w:t>填写</w:t>
      </w:r>
      <w:r>
        <w:rPr>
          <w:rFonts w:hint="eastAsia"/>
          <w:color w:val="auto"/>
          <w:highlight w:val="none"/>
          <w:lang w:eastAsia="zh-CN"/>
        </w:rPr>
        <w:t>，</w:t>
      </w:r>
      <w:r>
        <w:rPr>
          <w:rFonts w:hint="eastAsia"/>
          <w:color w:val="auto"/>
          <w:kern w:val="0"/>
          <w:szCs w:val="21"/>
          <w:highlight w:val="none"/>
          <w:lang w:val="en-US" w:eastAsia="zh-CN"/>
        </w:rPr>
        <w:t>招标人可根据项目情况进行调整</w:t>
      </w:r>
      <w:r>
        <w:rPr>
          <w:rFonts w:hint="eastAsia"/>
          <w:color w:val="auto"/>
          <w:highlight w:val="none"/>
        </w:rPr>
        <w:t>。投标人采用的计价软件应当通过了湖南省建设工程造价管理总站的测评。</w:t>
      </w:r>
    </w:p>
    <w:p>
      <w:pPr>
        <w:spacing w:line="360" w:lineRule="auto"/>
        <w:ind w:firstLine="420" w:firstLineChars="200"/>
        <w:rPr>
          <w:rFonts w:hint="eastAsia"/>
          <w:color w:val="auto"/>
          <w:kern w:val="0"/>
          <w:szCs w:val="21"/>
          <w:highlight w:val="none"/>
          <w:lang w:val="en-US" w:eastAsia="zh-CN"/>
        </w:rPr>
      </w:pPr>
    </w:p>
    <w:p>
      <w:pPr>
        <w:spacing w:line="360" w:lineRule="auto"/>
        <w:ind w:firstLine="420" w:firstLineChars="200"/>
        <w:rPr>
          <w:rFonts w:hint="eastAsia"/>
          <w:color w:val="auto"/>
          <w:kern w:val="0"/>
          <w:szCs w:val="21"/>
          <w:highlight w:val="none"/>
          <w:lang w:val="en-US" w:eastAsia="zh-CN"/>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ascii="黑体" w:hAnsi="黑体" w:eastAsia="黑体"/>
          <w:color w:val="auto"/>
          <w:highlight w:val="none"/>
        </w:rPr>
        <w:t>3</w:t>
      </w:r>
      <w:r>
        <w:rPr>
          <w:rFonts w:hint="eastAsia" w:eastAsia="黑体"/>
          <w:b w:val="0"/>
          <w:color w:val="auto"/>
          <w:highlight w:val="none"/>
        </w:rPr>
        <w:t>.其他（由招标人根据项目情况明确具体要求）</w:t>
      </w:r>
    </w:p>
    <w:p>
      <w:pPr>
        <w:rPr>
          <w:color w:val="auto"/>
          <w:highlight w:val="none"/>
        </w:rPr>
      </w:pPr>
    </w:p>
    <w:p>
      <w:pPr>
        <w:widowControl/>
        <w:jc w:val="center"/>
        <w:rPr>
          <w:rFonts w:ascii="宋体" w:hAnsi="宋体" w:cs="宋体"/>
          <w:color w:val="auto"/>
          <w:sz w:val="24"/>
          <w:highlight w:val="none"/>
          <w:shd w:val="clear" w:color="auto" w:fill="FFFFFF"/>
        </w:rPr>
      </w:pPr>
    </w:p>
    <w:p>
      <w:pPr>
        <w:widowControl/>
        <w:jc w:val="center"/>
        <w:rPr>
          <w:rFonts w:hint="eastAsia" w:ascii="宋体" w:hAnsi="宋体" w:cs="宋体"/>
          <w:color w:val="auto"/>
          <w:sz w:val="24"/>
          <w:highlight w:val="none"/>
          <w:shd w:val="clear" w:color="auto" w:fill="FFFFFF"/>
        </w:rPr>
      </w:pPr>
    </w:p>
    <w:p>
      <w:pPr>
        <w:spacing w:line="360" w:lineRule="auto"/>
        <w:ind w:firstLine="480" w:firstLineChars="200"/>
        <w:rPr>
          <w:rFonts w:hint="eastAsia"/>
          <w:color w:val="auto"/>
          <w:sz w:val="24"/>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2"/>
        <w:jc w:val="center"/>
        <w:rPr>
          <w:rFonts w:ascii="Times New Roman" w:hAnsi="Times New Roman" w:eastAsia="黑体"/>
          <w:b w:val="0"/>
          <w:bCs w:val="0"/>
          <w:color w:val="auto"/>
          <w:highlight w:val="none"/>
        </w:rPr>
      </w:pPr>
      <w:bookmarkStart w:id="279" w:name="_Toc69199951"/>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bookmarkEnd w:id="279"/>
    </w:p>
    <w:p>
      <w:pPr>
        <w:pStyle w:val="2"/>
        <w:jc w:val="center"/>
        <w:rPr>
          <w:rFonts w:ascii="Times New Roman" w:hAnsi="Times New Roman" w:eastAsia="黑体"/>
          <w:b w:val="0"/>
          <w:bCs w:val="0"/>
          <w:color w:val="auto"/>
          <w:sz w:val="24"/>
          <w:szCs w:val="24"/>
          <w:highlight w:val="none"/>
        </w:rPr>
      </w:pPr>
      <w:bookmarkStart w:id="280" w:name="_Toc69199952"/>
      <w:bookmarkStart w:id="281" w:name="_Toc9189381"/>
      <w:bookmarkStart w:id="282" w:name="_Toc303865023"/>
      <w:r>
        <w:rPr>
          <w:rFonts w:ascii="Times New Roman" w:hAnsi="Times New Roman" w:eastAsia="黑体"/>
          <w:b w:val="0"/>
          <w:bCs w:val="0"/>
          <w:color w:val="auto"/>
          <w:sz w:val="24"/>
          <w:szCs w:val="24"/>
          <w:highlight w:val="none"/>
        </w:rPr>
        <w:t>（暗标）</w:t>
      </w:r>
      <w:bookmarkEnd w:id="280"/>
      <w:bookmarkEnd w:id="281"/>
      <w:bookmarkEnd w:id="282"/>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一、本项目技术方案</w:t>
      </w:r>
      <w:r>
        <w:rPr>
          <w:color w:val="auto"/>
          <w:highlight w:val="none"/>
        </w:rPr>
        <w:t>采用</w:t>
      </w:r>
      <w:r>
        <w:rPr>
          <w:rFonts w:hint="eastAsia"/>
          <w:color w:val="auto"/>
          <w:highlight w:val="none"/>
        </w:rPr>
        <w:t>暗</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Cs w:val="21"/>
          <w:highlight w:val="none"/>
        </w:rPr>
        <w:t>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安全生产控制方案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成本控制方案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质量管理方案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进度管理方案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一体化措施</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设计优化方案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施工方案与技术措施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安全管理措施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环境保护管理体系与措施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资源配备计划</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BIM工作方案</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u w:val="single"/>
          <w:lang w:val="en-US" w:eastAsia="zh-CN"/>
        </w:rPr>
        <w:t>如有</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rPr>
        <w:t>）</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val="en-US" w:eastAsia="zh-CN"/>
        </w:rPr>
      </w:pPr>
      <w:r>
        <w:rPr>
          <w:rFonts w:hint="eastAsia" w:ascii="仿宋_GB2312" w:hAnsi="仿宋_GB2312" w:cs="仿宋_GB2312"/>
          <w:bCs/>
          <w:color w:val="auto"/>
          <w:kern w:val="0"/>
          <w:sz w:val="21"/>
          <w:szCs w:val="21"/>
          <w:highlight w:val="none"/>
          <w:lang w:val="en-US" w:eastAsia="zh-CN"/>
        </w:rPr>
        <w:t xml:space="preserve">  4.其他。</w:t>
      </w: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注：技术方案包括的内容由招标人在编制招标文件时根据评审内容编写。</w:t>
      </w:r>
    </w:p>
    <w:p>
      <w:pPr>
        <w:spacing w:line="360" w:lineRule="auto"/>
        <w:rPr>
          <w:color w:val="auto"/>
          <w:highlight w:val="none"/>
        </w:rPr>
      </w:pPr>
      <w:r>
        <w:rPr>
          <w:rFonts w:hint="eastAsia"/>
          <w:color w:val="auto"/>
          <w:highlight w:val="none"/>
        </w:rPr>
        <w:t xml:space="preserve">    二、技术方案（暗标）制作要求</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.应在“</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”页签中导入电子招标文件生成相关评审模块的目录，并在评审模块目录中导入相关文件。</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2.编制“</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”评审模块的文件时，</w:t>
      </w:r>
      <w:r>
        <w:rPr>
          <w:rFonts w:hint="eastAsia" w:ascii="Times New Roman" w:hAnsi="Times New Roman" w:eastAsia="宋体" w:cs="Times New Roman"/>
          <w:color w:val="auto"/>
          <w:szCs w:val="21"/>
          <w:highlight w:val="none"/>
        </w:rPr>
        <w:t>需</w:t>
      </w:r>
      <w:r>
        <w:rPr>
          <w:rFonts w:ascii="Times New Roman" w:hAnsi="Times New Roman" w:eastAsia="宋体" w:cs="Times New Roman"/>
          <w:color w:val="auto"/>
          <w:szCs w:val="21"/>
          <w:highlight w:val="none"/>
        </w:rPr>
        <w:t>生成页码。</w:t>
      </w:r>
    </w:p>
    <w:p>
      <w:pPr>
        <w:adjustRightInd w:val="0"/>
        <w:snapToGrid w:val="0"/>
        <w:spacing w:line="360" w:lineRule="auto"/>
        <w:ind w:firstLine="420" w:firstLineChars="200"/>
        <w:jc w:val="left"/>
        <w:rPr>
          <w:rFonts w:hint="eastAsia"/>
          <w:color w:val="auto"/>
          <w:szCs w:val="21"/>
          <w:highlight w:val="none"/>
        </w:rPr>
      </w:pPr>
      <w:r>
        <w:rPr>
          <w:color w:val="auto"/>
          <w:szCs w:val="21"/>
          <w:highlight w:val="none"/>
        </w:rPr>
        <w:t>3.</w:t>
      </w:r>
      <w:r>
        <w:rPr>
          <w:rFonts w:hint="eastAsia"/>
          <w:color w:val="auto"/>
          <w:szCs w:val="21"/>
          <w:highlight w:val="none"/>
        </w:rPr>
        <w:t>除满足上述各项要求外，投标文件的“</w:t>
      </w:r>
      <w:r>
        <w:rPr>
          <w:rFonts w:hint="eastAsia"/>
          <w:color w:val="auto"/>
          <w:szCs w:val="21"/>
          <w:highlight w:val="none"/>
          <w:lang w:val="en-US" w:eastAsia="zh-CN"/>
        </w:rPr>
        <w:t>技术方案</w:t>
      </w:r>
      <w:r>
        <w:rPr>
          <w:rFonts w:hint="eastAsia"/>
          <w:color w:val="auto"/>
          <w:szCs w:val="21"/>
          <w:highlight w:val="none"/>
        </w:rPr>
        <w:t>暗标”内不得出现投标人名称或者出现任何能直接判断出投标人名称的内容。否则，</w:t>
      </w:r>
      <w:r>
        <w:rPr>
          <w:rFonts w:hint="eastAsia"/>
          <w:color w:val="auto"/>
          <w:szCs w:val="21"/>
          <w:highlight w:val="none"/>
          <w:lang w:val="en-US" w:eastAsia="zh-CN"/>
        </w:rPr>
        <w:t>技术方案</w:t>
      </w:r>
      <w:r>
        <w:rPr>
          <w:rFonts w:hint="eastAsia"/>
          <w:color w:val="auto"/>
          <w:szCs w:val="21"/>
          <w:highlight w:val="none"/>
        </w:rPr>
        <w:t>评审计零分。出现不符合招标文件规定格式等错误的，由评标委员会集体评审，按照一项错误扣1分。</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p>
    <w:p>
      <w:pPr>
        <w:pStyle w:val="2"/>
        <w:jc w:val="center"/>
        <w:rPr>
          <w:rFonts w:ascii="Times New Roman" w:hAnsi="Times New Roman" w:eastAsia="黑体"/>
          <w:b w:val="0"/>
          <w:bCs w:val="0"/>
          <w:color w:val="auto"/>
          <w:highlight w:val="none"/>
        </w:rPr>
      </w:pPr>
      <w:r>
        <w:rPr>
          <w:rFonts w:ascii="Times New Roman" w:hAnsi="Times New Roman"/>
          <w:b w:val="0"/>
          <w:color w:val="auto"/>
          <w:szCs w:val="21"/>
          <w:highlight w:val="none"/>
        </w:rPr>
        <w:br w:type="page"/>
      </w:r>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p>
    <w:p>
      <w:pPr>
        <w:pStyle w:val="2"/>
        <w:jc w:val="center"/>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w:t>
      </w:r>
      <w:r>
        <w:rPr>
          <w:rFonts w:hint="eastAsia" w:ascii="Times New Roman" w:hAnsi="Times New Roman" w:eastAsia="黑体"/>
          <w:b w:val="0"/>
          <w:bCs w:val="0"/>
          <w:color w:val="auto"/>
          <w:sz w:val="24"/>
          <w:szCs w:val="24"/>
          <w:highlight w:val="none"/>
          <w:lang w:val="en-US" w:eastAsia="zh-CN"/>
        </w:rPr>
        <w:t>明</w:t>
      </w:r>
      <w:r>
        <w:rPr>
          <w:rFonts w:ascii="Times New Roman" w:hAnsi="Times New Roman" w:eastAsia="黑体"/>
          <w:b w:val="0"/>
          <w:bCs w:val="0"/>
          <w:color w:val="auto"/>
          <w:sz w:val="24"/>
          <w:szCs w:val="24"/>
          <w:highlight w:val="none"/>
        </w:rPr>
        <w:t>标）</w:t>
      </w:r>
    </w:p>
    <w:p>
      <w:pPr>
        <w:rPr>
          <w:color w:val="auto"/>
          <w:highlight w:val="none"/>
        </w:rPr>
      </w:pPr>
      <w:r>
        <w:rPr>
          <w:rFonts w:ascii="Times New Roman" w:hAnsi="Times New Roman" w:eastAsia="黑体"/>
          <w:b w:val="0"/>
          <w:bCs w:val="0"/>
          <w:color w:val="auto"/>
          <w:sz w:val="24"/>
          <w:szCs w:val="24"/>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w:t>
      </w:r>
      <w:r>
        <w:rPr>
          <w:rFonts w:hint="eastAsia" w:eastAsia="黑体"/>
          <w:color w:val="auto"/>
          <w:sz w:val="28"/>
          <w:szCs w:val="28"/>
          <w:highlight w:val="none"/>
          <w:lang w:val="en-US" w:eastAsia="zh-CN"/>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w:t>
      </w:r>
      <w:r>
        <w:rPr>
          <w:rFonts w:hint="eastAsia" w:eastAsia="黑体"/>
          <w:color w:val="auto"/>
          <w:sz w:val="32"/>
          <w:szCs w:val="32"/>
          <w:highlight w:val="none"/>
          <w:lang w:val="en-US" w:eastAsia="zh-CN"/>
        </w:rPr>
        <w:t>技术方案</w:t>
      </w:r>
      <w:r>
        <w:rPr>
          <w:rFonts w:eastAsia="黑体"/>
          <w:color w:val="auto"/>
          <w:sz w:val="32"/>
          <w:szCs w:val="32"/>
          <w:highlight w:val="none"/>
        </w:rPr>
        <w:t>）</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spacing w:line="360" w:lineRule="auto"/>
        <w:jc w:val="left"/>
        <w:rPr>
          <w:rFonts w:eastAsia="黑体"/>
          <w:color w:val="auto"/>
          <w:sz w:val="24"/>
          <w:szCs w:val="28"/>
          <w:highlight w:val="none"/>
        </w:rPr>
      </w:pPr>
      <w:r>
        <w:rPr>
          <w:rFonts w:eastAsia="黑体"/>
          <w:color w:val="auto"/>
          <w:sz w:val="24"/>
          <w:szCs w:val="28"/>
          <w:highlight w:val="none"/>
        </w:rPr>
        <w:t xml:space="preserve">          </w:t>
      </w:r>
      <w:r>
        <w:rPr>
          <w:rFonts w:hint="eastAsia" w:eastAsia="黑体"/>
          <w:color w:val="auto"/>
          <w:sz w:val="24"/>
          <w:szCs w:val="28"/>
          <w:highlight w:val="none"/>
          <w:lang w:val="en-US" w:eastAsia="zh-CN"/>
        </w:rPr>
        <w:t xml:space="preserve">                </w:t>
      </w:r>
      <w:r>
        <w:rPr>
          <w:rFonts w:eastAsia="黑体"/>
          <w:color w:val="auto"/>
          <w:sz w:val="24"/>
          <w:szCs w:val="28"/>
          <w:highlight w:val="none"/>
        </w:rPr>
        <w:t>投标人：</w:t>
      </w:r>
      <w:r>
        <w:rPr>
          <w:rFonts w:eastAsia="黑体"/>
          <w:color w:val="auto"/>
          <w:sz w:val="24"/>
          <w:szCs w:val="28"/>
          <w:highlight w:val="none"/>
          <w:u w:val="single"/>
        </w:rPr>
        <w:t xml:space="preserve">             </w:t>
      </w:r>
    </w:p>
    <w:p>
      <w:pPr>
        <w:pStyle w:val="2"/>
        <w:jc w:val="both"/>
        <w:rPr>
          <w:rFonts w:ascii="Times New Roman" w:hAnsi="Times New Roman" w:eastAsia="黑体"/>
          <w:b w:val="0"/>
          <w:bCs w:val="0"/>
          <w:color w:val="auto"/>
          <w:sz w:val="24"/>
          <w:szCs w:val="24"/>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本项目技术方案</w:t>
      </w:r>
      <w:r>
        <w:rPr>
          <w:color w:val="auto"/>
          <w:highlight w:val="none"/>
        </w:rPr>
        <w:t>采用</w:t>
      </w:r>
      <w:r>
        <w:rPr>
          <w:rFonts w:hint="eastAsia"/>
          <w:color w:val="auto"/>
          <w:highlight w:val="none"/>
          <w:lang w:val="en-US" w:eastAsia="zh-CN"/>
        </w:rPr>
        <w:t>明</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w:t>
      </w:r>
      <w:r>
        <w:rPr>
          <w:rFonts w:hint="eastAsia" w:ascii="仿宋_GB2312" w:hAnsi="仿宋_GB2312" w:cs="仿宋_GB2312"/>
          <w:bCs/>
          <w:color w:val="auto"/>
          <w:kern w:val="0"/>
          <w:sz w:val="21"/>
          <w:szCs w:val="21"/>
          <w:highlight w:val="none"/>
          <w:u w:val="single"/>
          <w:lang w:val="en-US" w:eastAsia="zh-CN"/>
        </w:rPr>
        <w:t>工作</w:t>
      </w:r>
      <w:r>
        <w:rPr>
          <w:rFonts w:hint="eastAsia" w:ascii="仿宋_GB2312" w:hAnsi="仿宋_GB2312" w:cs="仿宋_GB2312"/>
          <w:bCs/>
          <w:color w:val="auto"/>
          <w:kern w:val="0"/>
          <w:sz w:val="21"/>
          <w:szCs w:val="21"/>
          <w:highlight w:val="none"/>
        </w:rPr>
        <w:t>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color w:val="auto"/>
          <w:highlight w:val="none"/>
        </w:rPr>
      </w:pPr>
    </w:p>
    <w:p>
      <w:pPr>
        <w:pStyle w:val="2"/>
        <w:spacing w:before="0" w:after="0"/>
        <w:jc w:val="center"/>
        <w:rPr>
          <w:rFonts w:ascii="Times New Roman" w:hAnsi="Times New Roman"/>
          <w:b w:val="0"/>
          <w:color w:val="auto"/>
          <w:szCs w:val="21"/>
          <w:highlight w:val="none"/>
        </w:rPr>
      </w:pPr>
    </w:p>
    <w:p>
      <w:pPr>
        <w:pStyle w:val="2"/>
        <w:spacing w:before="0" w:after="0"/>
        <w:jc w:val="center"/>
        <w:rPr>
          <w:rFonts w:ascii="Times New Roman" w:hAnsi="Times New Roman"/>
          <w:b w:val="0"/>
          <w:color w:val="auto"/>
          <w:szCs w:val="21"/>
          <w:highlight w:val="none"/>
        </w:rPr>
      </w:pPr>
    </w:p>
    <w:sectPr>
      <w:pgSz w:w="11907" w:h="16840"/>
      <w:pgMar w:top="1020" w:right="1020" w:bottom="1020" w:left="1020" w:header="851" w:footer="10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46"/>
      </w:rPr>
    </w:pPr>
    <w:r>
      <w:fldChar w:fldCharType="begin"/>
    </w:r>
    <w:r>
      <w:rPr>
        <w:rStyle w:val="46"/>
      </w:rPr>
      <w:instrText xml:space="preserve">PAGE  </w:instrText>
    </w:r>
    <w:r>
      <w:fldChar w:fldCharType="separate"/>
    </w:r>
    <w:r>
      <w:rPr>
        <w:rStyle w:val="46"/>
      </w:rPr>
      <w:t>368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C5C5"/>
    <w:multiLevelType w:val="singleLevel"/>
    <w:tmpl w:val="CACAC5C5"/>
    <w:lvl w:ilvl="0" w:tentative="0">
      <w:start w:val="1"/>
      <w:numFmt w:val="decimal"/>
      <w:suff w:val="nothing"/>
      <w:lvlText w:val="%1、"/>
      <w:lvlJc w:val="left"/>
    </w:lvl>
  </w:abstractNum>
  <w:abstractNum w:abstractNumId="1">
    <w:nsid w:val="E221B81A"/>
    <w:multiLevelType w:val="singleLevel"/>
    <w:tmpl w:val="E221B81A"/>
    <w:lvl w:ilvl="0" w:tentative="0">
      <w:start w:val="1"/>
      <w:numFmt w:val="decimal"/>
      <w:suff w:val="nothing"/>
      <w:lvlText w:val="（%1）"/>
      <w:lvlJc w:val="left"/>
    </w:lvl>
  </w:abstractNum>
  <w:abstractNum w:abstractNumId="2">
    <w:nsid w:val="E464D7A4"/>
    <w:multiLevelType w:val="singleLevel"/>
    <w:tmpl w:val="E464D7A4"/>
    <w:lvl w:ilvl="0" w:tentative="0">
      <w:start w:val="1"/>
      <w:numFmt w:val="decimal"/>
      <w:suff w:val="nothing"/>
      <w:lvlText w:val="%1、"/>
      <w:lvlJc w:val="left"/>
    </w:lvl>
  </w:abstractNum>
  <w:abstractNum w:abstractNumId="3">
    <w:nsid w:val="E8990275"/>
    <w:multiLevelType w:val="singleLevel"/>
    <w:tmpl w:val="E8990275"/>
    <w:lvl w:ilvl="0" w:tentative="0">
      <w:start w:val="1"/>
      <w:numFmt w:val="decimal"/>
      <w:suff w:val="nothing"/>
      <w:lvlText w:val="%1、"/>
      <w:lvlJc w:val="left"/>
    </w:lvl>
  </w:abstractNum>
  <w:abstractNum w:abstractNumId="4">
    <w:nsid w:val="EC16381B"/>
    <w:multiLevelType w:val="singleLevel"/>
    <w:tmpl w:val="EC16381B"/>
    <w:lvl w:ilvl="0" w:tentative="0">
      <w:start w:val="1"/>
      <w:numFmt w:val="decimal"/>
      <w:suff w:val="nothing"/>
      <w:lvlText w:val="%1、"/>
      <w:lvlJc w:val="left"/>
    </w:lvl>
  </w:abstractNum>
  <w:abstractNum w:abstractNumId="5">
    <w:nsid w:val="FBFEBB22"/>
    <w:multiLevelType w:val="singleLevel"/>
    <w:tmpl w:val="FBFEBB22"/>
    <w:lvl w:ilvl="0" w:tentative="0">
      <w:start w:val="1"/>
      <w:numFmt w:val="decimal"/>
      <w:suff w:val="nothing"/>
      <w:lvlText w:val="%1、"/>
      <w:lvlJc w:val="left"/>
    </w:lvl>
  </w:abstractNum>
  <w:abstractNum w:abstractNumId="6">
    <w:nsid w:val="01E967D5"/>
    <w:multiLevelType w:val="multilevel"/>
    <w:tmpl w:val="01E967D5"/>
    <w:lvl w:ilvl="0" w:tentative="0">
      <w:start w:val="1"/>
      <w:numFmt w:val="chineseCountingThousand"/>
      <w:pStyle w:val="22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8366E5"/>
    <w:multiLevelType w:val="singleLevel"/>
    <w:tmpl w:val="1F8366E5"/>
    <w:lvl w:ilvl="0" w:tentative="0">
      <w:start w:val="2"/>
      <w:numFmt w:val="decimal"/>
      <w:suff w:val="nothing"/>
      <w:lvlText w:val="（%1）"/>
      <w:lvlJc w:val="left"/>
    </w:lvl>
  </w:abstractNum>
  <w:abstractNum w:abstractNumId="8">
    <w:nsid w:val="28D9536E"/>
    <w:multiLevelType w:val="multilevel"/>
    <w:tmpl w:val="28D9536E"/>
    <w:lvl w:ilvl="0" w:tentative="0">
      <w:start w:val="1"/>
      <w:numFmt w:val="upperLetter"/>
      <w:pStyle w:val="179"/>
      <w:lvlText w:val="(%1)"/>
      <w:lvlJc w:val="left"/>
      <w:pPr>
        <w:tabs>
          <w:tab w:val="left" w:pos="624"/>
        </w:tabs>
        <w:ind w:left="624" w:hanging="624"/>
      </w:pPr>
    </w:lvl>
    <w:lvl w:ilvl="1" w:tentative="0">
      <w:start w:val="1"/>
      <w:numFmt w:val="upperLetter"/>
      <w:pStyle w:val="194"/>
      <w:lvlText w:val="(%2)"/>
      <w:lvlJc w:val="left"/>
      <w:pPr>
        <w:tabs>
          <w:tab w:val="left" w:pos="1417"/>
        </w:tabs>
        <w:ind w:left="1417" w:hanging="793"/>
      </w:pPr>
    </w:lvl>
    <w:lvl w:ilvl="2" w:tentative="0">
      <w:start w:val="1"/>
      <w:numFmt w:val="upperLetter"/>
      <w:pStyle w:val="264"/>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9">
    <w:nsid w:val="301F5202"/>
    <w:multiLevelType w:val="multilevel"/>
    <w:tmpl w:val="301F5202"/>
    <w:lvl w:ilvl="0" w:tentative="0">
      <w:start w:val="1"/>
      <w:numFmt w:val="decimal"/>
      <w:lvlText w:val="第%1条"/>
      <w:lvlJc w:val="left"/>
      <w:pPr>
        <w:ind w:left="851" w:firstLine="0"/>
      </w:pPr>
    </w:lvl>
    <w:lvl w:ilvl="1" w:tentative="0">
      <w:start w:val="1"/>
      <w:numFmt w:val="decimal"/>
      <w:pStyle w:val="272"/>
      <w:lvlText w:val="%1.%2"/>
      <w:lvlJc w:val="left"/>
      <w:pPr>
        <w:ind w:left="991" w:hanging="567"/>
      </w:pPr>
    </w:lvl>
    <w:lvl w:ilvl="2" w:tentative="0">
      <w:start w:val="1"/>
      <w:numFmt w:val="decimal"/>
      <w:pStyle w:val="176"/>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10">
    <w:nsid w:val="3AA800C6"/>
    <w:multiLevelType w:val="multilevel"/>
    <w:tmpl w:val="3AA800C6"/>
    <w:lvl w:ilvl="0" w:tentative="0">
      <w:start w:val="1"/>
      <w:numFmt w:val="decimal"/>
      <w:pStyle w:val="234"/>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2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3E7F97BD"/>
    <w:multiLevelType w:val="singleLevel"/>
    <w:tmpl w:val="3E7F97BD"/>
    <w:lvl w:ilvl="0" w:tentative="0">
      <w:start w:val="1"/>
      <w:numFmt w:val="decimal"/>
      <w:suff w:val="nothing"/>
      <w:lvlText w:val="%1、"/>
      <w:lvlJc w:val="left"/>
    </w:lvl>
  </w:abstractNum>
  <w:abstractNum w:abstractNumId="12">
    <w:nsid w:val="61BD6C99"/>
    <w:multiLevelType w:val="multilevel"/>
    <w:tmpl w:val="61BD6C99"/>
    <w:lvl w:ilvl="0" w:tentative="0">
      <w:start w:val="1"/>
      <w:numFmt w:val="lowerRoman"/>
      <w:pStyle w:val="224"/>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62687BB6"/>
    <w:multiLevelType w:val="multilevel"/>
    <w:tmpl w:val="62687BB6"/>
    <w:lvl w:ilvl="0" w:tentative="0">
      <w:start w:val="1"/>
      <w:numFmt w:val="decimal"/>
      <w:pStyle w:val="17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4">
    <w:nsid w:val="657AAFFA"/>
    <w:multiLevelType w:val="multilevel"/>
    <w:tmpl w:val="657AAFFA"/>
    <w:lvl w:ilvl="0" w:tentative="0">
      <w:start w:val="1"/>
      <w:numFmt w:val="decimal"/>
      <w:lvlText w:val="第%1条"/>
      <w:lvlJc w:val="left"/>
      <w:pPr>
        <w:ind w:left="0" w:firstLine="0"/>
      </w:pPr>
    </w:lvl>
    <w:lvl w:ilvl="1" w:tentative="0">
      <w:start w:val="1"/>
      <w:numFmt w:val="decimal"/>
      <w:pStyle w:val="286"/>
      <w:lvlText w:val="%1.%2"/>
      <w:lvlJc w:val="left"/>
      <w:pPr>
        <w:ind w:left="1843" w:firstLine="0"/>
      </w:pPr>
    </w:lvl>
    <w:lvl w:ilvl="2" w:tentative="0">
      <w:start w:val="1"/>
      <w:numFmt w:val="decimal"/>
      <w:pStyle w:val="284"/>
      <w:lvlText w:val="%1.%2.%3"/>
      <w:lvlJc w:val="left"/>
      <w:pPr>
        <w:ind w:left="2126" w:firstLine="0"/>
      </w:pPr>
    </w:lvl>
    <w:lvl w:ilvl="3" w:tentative="0">
      <w:start w:val="1"/>
      <w:numFmt w:val="decimal"/>
      <w:pStyle w:val="209"/>
      <w:lvlText w:val="%1.%2.%3.%4"/>
      <w:lvlJc w:val="left"/>
      <w:pPr>
        <w:ind w:left="710" w:firstLine="0"/>
      </w:pPr>
    </w:lvl>
    <w:lvl w:ilvl="4" w:tentative="0">
      <w:start w:val="1"/>
      <w:numFmt w:val="decimal"/>
      <w:pStyle w:val="258"/>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E87019F"/>
    <w:multiLevelType w:val="multilevel"/>
    <w:tmpl w:val="6E87019F"/>
    <w:lvl w:ilvl="0" w:tentative="0">
      <w:start w:val="1"/>
      <w:numFmt w:val="chineseCountingThousand"/>
      <w:pStyle w:val="28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7543651A"/>
    <w:multiLevelType w:val="multilevel"/>
    <w:tmpl w:val="7543651A"/>
    <w:lvl w:ilvl="0" w:tentative="0">
      <w:start w:val="1"/>
      <w:numFmt w:val="lowerLetter"/>
      <w:pStyle w:val="22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3"/>
  </w:num>
  <w:num w:numId="3">
    <w:abstractNumId w:val="8"/>
  </w:num>
  <w:num w:numId="4">
    <w:abstractNumId w:val="14"/>
  </w:num>
  <w:num w:numId="5">
    <w:abstractNumId w:val="10"/>
  </w:num>
  <w:num w:numId="6">
    <w:abstractNumId w:val="12"/>
  </w:num>
  <w:num w:numId="7">
    <w:abstractNumId w:val="16"/>
  </w:num>
  <w:num w:numId="8">
    <w:abstractNumId w:val="6"/>
  </w:num>
  <w:num w:numId="9">
    <w:abstractNumId w:val="15"/>
  </w:num>
  <w:num w:numId="10">
    <w:abstractNumId w:val="7"/>
  </w:num>
  <w:num w:numId="11">
    <w:abstractNumId w:val="11"/>
  </w:num>
  <w:num w:numId="12">
    <w:abstractNumId w:val="0"/>
  </w:num>
  <w:num w:numId="13">
    <w:abstractNumId w:val="4"/>
  </w:num>
  <w:num w:numId="14">
    <w:abstractNumId w:val="3"/>
  </w:num>
  <w:num w:numId="15">
    <w:abstractNumId w:val="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GEyMmZlNzUyZWZiNmRhZTUwNGE1YzYxMTAyZDYifQ=="/>
  </w:docVars>
  <w:rsids>
    <w:rsidRoot w:val="00172A27"/>
    <w:rsid w:val="0000012A"/>
    <w:rsid w:val="00000D5E"/>
    <w:rsid w:val="00001661"/>
    <w:rsid w:val="000017EF"/>
    <w:rsid w:val="00001EBE"/>
    <w:rsid w:val="00002B9C"/>
    <w:rsid w:val="00002E54"/>
    <w:rsid w:val="00003E74"/>
    <w:rsid w:val="00005300"/>
    <w:rsid w:val="00006179"/>
    <w:rsid w:val="000072F2"/>
    <w:rsid w:val="000077BA"/>
    <w:rsid w:val="0001026F"/>
    <w:rsid w:val="00010A79"/>
    <w:rsid w:val="00010E33"/>
    <w:rsid w:val="00010E3D"/>
    <w:rsid w:val="00010F1F"/>
    <w:rsid w:val="000110F2"/>
    <w:rsid w:val="00011D1C"/>
    <w:rsid w:val="00011E53"/>
    <w:rsid w:val="000124E1"/>
    <w:rsid w:val="00013B8E"/>
    <w:rsid w:val="000143C6"/>
    <w:rsid w:val="00015048"/>
    <w:rsid w:val="00021910"/>
    <w:rsid w:val="0002245E"/>
    <w:rsid w:val="00022A59"/>
    <w:rsid w:val="00022B7F"/>
    <w:rsid w:val="00023647"/>
    <w:rsid w:val="000236D4"/>
    <w:rsid w:val="00023A43"/>
    <w:rsid w:val="000247D1"/>
    <w:rsid w:val="0002517F"/>
    <w:rsid w:val="00025DA7"/>
    <w:rsid w:val="00025FC6"/>
    <w:rsid w:val="000260C3"/>
    <w:rsid w:val="000304C7"/>
    <w:rsid w:val="00030732"/>
    <w:rsid w:val="00030909"/>
    <w:rsid w:val="00030CD6"/>
    <w:rsid w:val="0003143E"/>
    <w:rsid w:val="000315C2"/>
    <w:rsid w:val="00031D21"/>
    <w:rsid w:val="0003301E"/>
    <w:rsid w:val="000339CF"/>
    <w:rsid w:val="00033B73"/>
    <w:rsid w:val="00033D2B"/>
    <w:rsid w:val="00033F28"/>
    <w:rsid w:val="00035EF7"/>
    <w:rsid w:val="000372F0"/>
    <w:rsid w:val="00037802"/>
    <w:rsid w:val="0004080D"/>
    <w:rsid w:val="00040D87"/>
    <w:rsid w:val="00040E6E"/>
    <w:rsid w:val="000410E0"/>
    <w:rsid w:val="00041860"/>
    <w:rsid w:val="00041A17"/>
    <w:rsid w:val="00042481"/>
    <w:rsid w:val="00042805"/>
    <w:rsid w:val="00044C89"/>
    <w:rsid w:val="000456C5"/>
    <w:rsid w:val="000460BB"/>
    <w:rsid w:val="00047109"/>
    <w:rsid w:val="00050314"/>
    <w:rsid w:val="00050A9D"/>
    <w:rsid w:val="00050AB0"/>
    <w:rsid w:val="00051278"/>
    <w:rsid w:val="000514EB"/>
    <w:rsid w:val="00054824"/>
    <w:rsid w:val="000549C7"/>
    <w:rsid w:val="0005509E"/>
    <w:rsid w:val="00055BCC"/>
    <w:rsid w:val="00056B38"/>
    <w:rsid w:val="00056C54"/>
    <w:rsid w:val="00057D18"/>
    <w:rsid w:val="000601DC"/>
    <w:rsid w:val="000609A7"/>
    <w:rsid w:val="00061725"/>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391F"/>
    <w:rsid w:val="00073922"/>
    <w:rsid w:val="000746E8"/>
    <w:rsid w:val="00074A88"/>
    <w:rsid w:val="00075666"/>
    <w:rsid w:val="0007615A"/>
    <w:rsid w:val="00076278"/>
    <w:rsid w:val="00076A3A"/>
    <w:rsid w:val="00077006"/>
    <w:rsid w:val="0007730E"/>
    <w:rsid w:val="00077337"/>
    <w:rsid w:val="00077482"/>
    <w:rsid w:val="00077CF6"/>
    <w:rsid w:val="000803CF"/>
    <w:rsid w:val="00080CB8"/>
    <w:rsid w:val="00080E31"/>
    <w:rsid w:val="00080EE9"/>
    <w:rsid w:val="000816F4"/>
    <w:rsid w:val="000823F8"/>
    <w:rsid w:val="000827F0"/>
    <w:rsid w:val="0008418D"/>
    <w:rsid w:val="00084370"/>
    <w:rsid w:val="000844E6"/>
    <w:rsid w:val="00084E20"/>
    <w:rsid w:val="00085D01"/>
    <w:rsid w:val="00085D38"/>
    <w:rsid w:val="00085E16"/>
    <w:rsid w:val="00086F79"/>
    <w:rsid w:val="00090BC8"/>
    <w:rsid w:val="0009141B"/>
    <w:rsid w:val="00092B1C"/>
    <w:rsid w:val="000932FD"/>
    <w:rsid w:val="00093D97"/>
    <w:rsid w:val="00094470"/>
    <w:rsid w:val="0009654B"/>
    <w:rsid w:val="00097B15"/>
    <w:rsid w:val="000A0C74"/>
    <w:rsid w:val="000A15B9"/>
    <w:rsid w:val="000A1639"/>
    <w:rsid w:val="000A1DE5"/>
    <w:rsid w:val="000A212C"/>
    <w:rsid w:val="000A3A03"/>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22E"/>
    <w:rsid w:val="000B7C7E"/>
    <w:rsid w:val="000C0D35"/>
    <w:rsid w:val="000C0DF9"/>
    <w:rsid w:val="000C0FF4"/>
    <w:rsid w:val="000C157D"/>
    <w:rsid w:val="000C1C7E"/>
    <w:rsid w:val="000C2241"/>
    <w:rsid w:val="000C35B2"/>
    <w:rsid w:val="000C39B6"/>
    <w:rsid w:val="000C3E98"/>
    <w:rsid w:val="000C4938"/>
    <w:rsid w:val="000C50B7"/>
    <w:rsid w:val="000C550E"/>
    <w:rsid w:val="000C65BA"/>
    <w:rsid w:val="000C6D5B"/>
    <w:rsid w:val="000C7475"/>
    <w:rsid w:val="000C765F"/>
    <w:rsid w:val="000C7D35"/>
    <w:rsid w:val="000D0040"/>
    <w:rsid w:val="000D0398"/>
    <w:rsid w:val="000D320F"/>
    <w:rsid w:val="000D47F5"/>
    <w:rsid w:val="000D4F77"/>
    <w:rsid w:val="000D5451"/>
    <w:rsid w:val="000D5900"/>
    <w:rsid w:val="000D7BC4"/>
    <w:rsid w:val="000E100D"/>
    <w:rsid w:val="000E1C8B"/>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629"/>
    <w:rsid w:val="001009E7"/>
    <w:rsid w:val="00100A0D"/>
    <w:rsid w:val="001022A2"/>
    <w:rsid w:val="00102524"/>
    <w:rsid w:val="00102D90"/>
    <w:rsid w:val="00103D42"/>
    <w:rsid w:val="00104314"/>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1607D"/>
    <w:rsid w:val="00120E42"/>
    <w:rsid w:val="0012105F"/>
    <w:rsid w:val="00121DB8"/>
    <w:rsid w:val="00122A22"/>
    <w:rsid w:val="00123C2D"/>
    <w:rsid w:val="00124748"/>
    <w:rsid w:val="00125038"/>
    <w:rsid w:val="0012535A"/>
    <w:rsid w:val="00125BBA"/>
    <w:rsid w:val="00125FA2"/>
    <w:rsid w:val="00125FE0"/>
    <w:rsid w:val="0012612A"/>
    <w:rsid w:val="00126981"/>
    <w:rsid w:val="0012714D"/>
    <w:rsid w:val="00127A6C"/>
    <w:rsid w:val="00127D73"/>
    <w:rsid w:val="001302F1"/>
    <w:rsid w:val="0013039A"/>
    <w:rsid w:val="001309B7"/>
    <w:rsid w:val="0013172B"/>
    <w:rsid w:val="00131A66"/>
    <w:rsid w:val="001321A3"/>
    <w:rsid w:val="00133444"/>
    <w:rsid w:val="001336CC"/>
    <w:rsid w:val="001336EB"/>
    <w:rsid w:val="00133B31"/>
    <w:rsid w:val="00134F96"/>
    <w:rsid w:val="00135863"/>
    <w:rsid w:val="001379AC"/>
    <w:rsid w:val="00140D0C"/>
    <w:rsid w:val="00141437"/>
    <w:rsid w:val="0014147A"/>
    <w:rsid w:val="00141822"/>
    <w:rsid w:val="00142830"/>
    <w:rsid w:val="00142A16"/>
    <w:rsid w:val="0014627A"/>
    <w:rsid w:val="001462F6"/>
    <w:rsid w:val="00147330"/>
    <w:rsid w:val="001477FD"/>
    <w:rsid w:val="001479A2"/>
    <w:rsid w:val="00150643"/>
    <w:rsid w:val="001509E2"/>
    <w:rsid w:val="00151B63"/>
    <w:rsid w:val="00151FB5"/>
    <w:rsid w:val="00154052"/>
    <w:rsid w:val="001546C6"/>
    <w:rsid w:val="00154FF1"/>
    <w:rsid w:val="00155573"/>
    <w:rsid w:val="00155596"/>
    <w:rsid w:val="00155E1A"/>
    <w:rsid w:val="0015715B"/>
    <w:rsid w:val="001573E1"/>
    <w:rsid w:val="0016053D"/>
    <w:rsid w:val="001607AD"/>
    <w:rsid w:val="001625CB"/>
    <w:rsid w:val="00162A9C"/>
    <w:rsid w:val="00163B47"/>
    <w:rsid w:val="00163BF1"/>
    <w:rsid w:val="001645AF"/>
    <w:rsid w:val="001645ED"/>
    <w:rsid w:val="001647CA"/>
    <w:rsid w:val="00165400"/>
    <w:rsid w:val="0016562D"/>
    <w:rsid w:val="001656C6"/>
    <w:rsid w:val="00167203"/>
    <w:rsid w:val="00170487"/>
    <w:rsid w:val="001709ED"/>
    <w:rsid w:val="00171938"/>
    <w:rsid w:val="00172A27"/>
    <w:rsid w:val="00173E59"/>
    <w:rsid w:val="00174080"/>
    <w:rsid w:val="00174D63"/>
    <w:rsid w:val="00175746"/>
    <w:rsid w:val="001759CE"/>
    <w:rsid w:val="0017678E"/>
    <w:rsid w:val="001807AA"/>
    <w:rsid w:val="00181963"/>
    <w:rsid w:val="00181A76"/>
    <w:rsid w:val="00182550"/>
    <w:rsid w:val="00183FA7"/>
    <w:rsid w:val="0018442E"/>
    <w:rsid w:val="001848E9"/>
    <w:rsid w:val="001850A2"/>
    <w:rsid w:val="0018678E"/>
    <w:rsid w:val="00187A73"/>
    <w:rsid w:val="00190E5F"/>
    <w:rsid w:val="001916B2"/>
    <w:rsid w:val="00191B87"/>
    <w:rsid w:val="0019233E"/>
    <w:rsid w:val="001929B5"/>
    <w:rsid w:val="0019326F"/>
    <w:rsid w:val="00193BEB"/>
    <w:rsid w:val="00194B00"/>
    <w:rsid w:val="001963F0"/>
    <w:rsid w:val="00197171"/>
    <w:rsid w:val="001971B3"/>
    <w:rsid w:val="00197C09"/>
    <w:rsid w:val="001A0673"/>
    <w:rsid w:val="001A10B7"/>
    <w:rsid w:val="001A1379"/>
    <w:rsid w:val="001A31C0"/>
    <w:rsid w:val="001A3529"/>
    <w:rsid w:val="001A42BF"/>
    <w:rsid w:val="001A4AB6"/>
    <w:rsid w:val="001A5479"/>
    <w:rsid w:val="001A575C"/>
    <w:rsid w:val="001A5F4D"/>
    <w:rsid w:val="001A5FA8"/>
    <w:rsid w:val="001A66C5"/>
    <w:rsid w:val="001A7BEF"/>
    <w:rsid w:val="001B0197"/>
    <w:rsid w:val="001B1C2E"/>
    <w:rsid w:val="001B1EE2"/>
    <w:rsid w:val="001B2111"/>
    <w:rsid w:val="001B2284"/>
    <w:rsid w:val="001B2533"/>
    <w:rsid w:val="001B2B55"/>
    <w:rsid w:val="001B37CB"/>
    <w:rsid w:val="001B39F6"/>
    <w:rsid w:val="001B3C9A"/>
    <w:rsid w:val="001B593C"/>
    <w:rsid w:val="001B5FBA"/>
    <w:rsid w:val="001B6111"/>
    <w:rsid w:val="001B6ADB"/>
    <w:rsid w:val="001B7695"/>
    <w:rsid w:val="001C14D8"/>
    <w:rsid w:val="001C1569"/>
    <w:rsid w:val="001C2E14"/>
    <w:rsid w:val="001C30FF"/>
    <w:rsid w:val="001C3F8E"/>
    <w:rsid w:val="001C43F1"/>
    <w:rsid w:val="001C4A5D"/>
    <w:rsid w:val="001C4E35"/>
    <w:rsid w:val="001C5163"/>
    <w:rsid w:val="001C518E"/>
    <w:rsid w:val="001C6461"/>
    <w:rsid w:val="001D014A"/>
    <w:rsid w:val="001D1644"/>
    <w:rsid w:val="001D3FB1"/>
    <w:rsid w:val="001D4D10"/>
    <w:rsid w:val="001D55AE"/>
    <w:rsid w:val="001E0A51"/>
    <w:rsid w:val="001E2006"/>
    <w:rsid w:val="001E21D2"/>
    <w:rsid w:val="001E495D"/>
    <w:rsid w:val="001E51F0"/>
    <w:rsid w:val="001E58E4"/>
    <w:rsid w:val="001E596D"/>
    <w:rsid w:val="001E5999"/>
    <w:rsid w:val="001E5AAC"/>
    <w:rsid w:val="001E604B"/>
    <w:rsid w:val="001E6794"/>
    <w:rsid w:val="001E6C29"/>
    <w:rsid w:val="001E7736"/>
    <w:rsid w:val="001E7F10"/>
    <w:rsid w:val="001F037B"/>
    <w:rsid w:val="001F08D9"/>
    <w:rsid w:val="001F0D6B"/>
    <w:rsid w:val="001F1841"/>
    <w:rsid w:val="001F18F2"/>
    <w:rsid w:val="001F1FA2"/>
    <w:rsid w:val="001F21B1"/>
    <w:rsid w:val="001F253E"/>
    <w:rsid w:val="001F2A0C"/>
    <w:rsid w:val="001F31DD"/>
    <w:rsid w:val="001F354E"/>
    <w:rsid w:val="001F4778"/>
    <w:rsid w:val="001F4D76"/>
    <w:rsid w:val="001F5941"/>
    <w:rsid w:val="001F5BE0"/>
    <w:rsid w:val="001F7131"/>
    <w:rsid w:val="001F7958"/>
    <w:rsid w:val="001F7CBB"/>
    <w:rsid w:val="00200311"/>
    <w:rsid w:val="0020093F"/>
    <w:rsid w:val="00200ECE"/>
    <w:rsid w:val="00201C7A"/>
    <w:rsid w:val="0020269E"/>
    <w:rsid w:val="0020382F"/>
    <w:rsid w:val="00203B75"/>
    <w:rsid w:val="0020447D"/>
    <w:rsid w:val="002044B3"/>
    <w:rsid w:val="0020511B"/>
    <w:rsid w:val="002066B6"/>
    <w:rsid w:val="00210C1C"/>
    <w:rsid w:val="00210ED6"/>
    <w:rsid w:val="002110AE"/>
    <w:rsid w:val="002111ED"/>
    <w:rsid w:val="00211239"/>
    <w:rsid w:val="00212378"/>
    <w:rsid w:val="00212660"/>
    <w:rsid w:val="002129F9"/>
    <w:rsid w:val="00212B80"/>
    <w:rsid w:val="00213002"/>
    <w:rsid w:val="00213D46"/>
    <w:rsid w:val="00213D47"/>
    <w:rsid w:val="00213E8A"/>
    <w:rsid w:val="00214127"/>
    <w:rsid w:val="0021420B"/>
    <w:rsid w:val="0021443E"/>
    <w:rsid w:val="0021472F"/>
    <w:rsid w:val="00216750"/>
    <w:rsid w:val="002169A1"/>
    <w:rsid w:val="00217126"/>
    <w:rsid w:val="002209F0"/>
    <w:rsid w:val="00221357"/>
    <w:rsid w:val="00221885"/>
    <w:rsid w:val="002219CA"/>
    <w:rsid w:val="00221E87"/>
    <w:rsid w:val="00222B4B"/>
    <w:rsid w:val="00223C02"/>
    <w:rsid w:val="00224096"/>
    <w:rsid w:val="0022412D"/>
    <w:rsid w:val="00224BB7"/>
    <w:rsid w:val="00224BDC"/>
    <w:rsid w:val="00224CBD"/>
    <w:rsid w:val="00224F55"/>
    <w:rsid w:val="00225648"/>
    <w:rsid w:val="002257B9"/>
    <w:rsid w:val="002259BE"/>
    <w:rsid w:val="00225C0D"/>
    <w:rsid w:val="00225CD7"/>
    <w:rsid w:val="00226AA1"/>
    <w:rsid w:val="0022719D"/>
    <w:rsid w:val="00230102"/>
    <w:rsid w:val="0023078C"/>
    <w:rsid w:val="002312F5"/>
    <w:rsid w:val="00232249"/>
    <w:rsid w:val="00232D5D"/>
    <w:rsid w:val="00233EAA"/>
    <w:rsid w:val="00234911"/>
    <w:rsid w:val="002354C5"/>
    <w:rsid w:val="00236211"/>
    <w:rsid w:val="00236EA2"/>
    <w:rsid w:val="00236F1A"/>
    <w:rsid w:val="00240221"/>
    <w:rsid w:val="00240554"/>
    <w:rsid w:val="002411C0"/>
    <w:rsid w:val="002419BF"/>
    <w:rsid w:val="00241EA6"/>
    <w:rsid w:val="002425F2"/>
    <w:rsid w:val="00242D37"/>
    <w:rsid w:val="00242EFB"/>
    <w:rsid w:val="002456C5"/>
    <w:rsid w:val="00245948"/>
    <w:rsid w:val="00247671"/>
    <w:rsid w:val="002506CA"/>
    <w:rsid w:val="0025132B"/>
    <w:rsid w:val="00251360"/>
    <w:rsid w:val="002516C0"/>
    <w:rsid w:val="00252462"/>
    <w:rsid w:val="00252776"/>
    <w:rsid w:val="00252AD0"/>
    <w:rsid w:val="0025346F"/>
    <w:rsid w:val="00253AA4"/>
    <w:rsid w:val="00254005"/>
    <w:rsid w:val="0025435A"/>
    <w:rsid w:val="00254581"/>
    <w:rsid w:val="00254F9A"/>
    <w:rsid w:val="00256F9B"/>
    <w:rsid w:val="0026091C"/>
    <w:rsid w:val="002637B7"/>
    <w:rsid w:val="00263B77"/>
    <w:rsid w:val="00264149"/>
    <w:rsid w:val="002641C6"/>
    <w:rsid w:val="00264443"/>
    <w:rsid w:val="00266064"/>
    <w:rsid w:val="00267B44"/>
    <w:rsid w:val="00272A69"/>
    <w:rsid w:val="00272F81"/>
    <w:rsid w:val="00273597"/>
    <w:rsid w:val="0027399E"/>
    <w:rsid w:val="00274426"/>
    <w:rsid w:val="00274592"/>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520"/>
    <w:rsid w:val="0028671E"/>
    <w:rsid w:val="00286C5D"/>
    <w:rsid w:val="00286F67"/>
    <w:rsid w:val="002870A4"/>
    <w:rsid w:val="002879DB"/>
    <w:rsid w:val="00290ED2"/>
    <w:rsid w:val="0029168E"/>
    <w:rsid w:val="002921BD"/>
    <w:rsid w:val="002925B0"/>
    <w:rsid w:val="002926AA"/>
    <w:rsid w:val="00292958"/>
    <w:rsid w:val="00292C0C"/>
    <w:rsid w:val="00292E30"/>
    <w:rsid w:val="0029307D"/>
    <w:rsid w:val="002930BE"/>
    <w:rsid w:val="00293584"/>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85F"/>
    <w:rsid w:val="002A5A1C"/>
    <w:rsid w:val="002A663B"/>
    <w:rsid w:val="002A70FE"/>
    <w:rsid w:val="002A7623"/>
    <w:rsid w:val="002A7805"/>
    <w:rsid w:val="002A7E5A"/>
    <w:rsid w:val="002B0607"/>
    <w:rsid w:val="002B08CE"/>
    <w:rsid w:val="002B14F7"/>
    <w:rsid w:val="002B1F73"/>
    <w:rsid w:val="002B25DB"/>
    <w:rsid w:val="002B2CE0"/>
    <w:rsid w:val="002B355C"/>
    <w:rsid w:val="002B3BCE"/>
    <w:rsid w:val="002B4194"/>
    <w:rsid w:val="002B4787"/>
    <w:rsid w:val="002B4E1B"/>
    <w:rsid w:val="002B51B5"/>
    <w:rsid w:val="002B58D3"/>
    <w:rsid w:val="002B6307"/>
    <w:rsid w:val="002B65E9"/>
    <w:rsid w:val="002C0210"/>
    <w:rsid w:val="002C05C1"/>
    <w:rsid w:val="002C1C2C"/>
    <w:rsid w:val="002C29C9"/>
    <w:rsid w:val="002C2A5C"/>
    <w:rsid w:val="002C48A4"/>
    <w:rsid w:val="002C4CDA"/>
    <w:rsid w:val="002C6383"/>
    <w:rsid w:val="002C6EF9"/>
    <w:rsid w:val="002C700E"/>
    <w:rsid w:val="002C765C"/>
    <w:rsid w:val="002C79A1"/>
    <w:rsid w:val="002D0A26"/>
    <w:rsid w:val="002D0E39"/>
    <w:rsid w:val="002D2FA4"/>
    <w:rsid w:val="002D3A3D"/>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35ED"/>
    <w:rsid w:val="002E4053"/>
    <w:rsid w:val="002E4625"/>
    <w:rsid w:val="002E46C2"/>
    <w:rsid w:val="002E4B82"/>
    <w:rsid w:val="002E4D13"/>
    <w:rsid w:val="002E59B4"/>
    <w:rsid w:val="002E65F1"/>
    <w:rsid w:val="002E6A9F"/>
    <w:rsid w:val="002E7A59"/>
    <w:rsid w:val="002E7F08"/>
    <w:rsid w:val="002F24FF"/>
    <w:rsid w:val="002F2600"/>
    <w:rsid w:val="002F27FD"/>
    <w:rsid w:val="002F2906"/>
    <w:rsid w:val="002F3195"/>
    <w:rsid w:val="002F363B"/>
    <w:rsid w:val="002F37E5"/>
    <w:rsid w:val="002F3CDB"/>
    <w:rsid w:val="002F3DA5"/>
    <w:rsid w:val="002F65E8"/>
    <w:rsid w:val="003002F7"/>
    <w:rsid w:val="00300386"/>
    <w:rsid w:val="00300D6E"/>
    <w:rsid w:val="00300DBF"/>
    <w:rsid w:val="00300F08"/>
    <w:rsid w:val="00300F48"/>
    <w:rsid w:val="00302279"/>
    <w:rsid w:val="00302519"/>
    <w:rsid w:val="003028AE"/>
    <w:rsid w:val="003042F8"/>
    <w:rsid w:val="00304F0B"/>
    <w:rsid w:val="00305028"/>
    <w:rsid w:val="00305F90"/>
    <w:rsid w:val="00306577"/>
    <w:rsid w:val="00307038"/>
    <w:rsid w:val="003070EF"/>
    <w:rsid w:val="00310293"/>
    <w:rsid w:val="00310D7D"/>
    <w:rsid w:val="00310EC9"/>
    <w:rsid w:val="00310FA4"/>
    <w:rsid w:val="00311237"/>
    <w:rsid w:val="00311436"/>
    <w:rsid w:val="00311705"/>
    <w:rsid w:val="00311A7F"/>
    <w:rsid w:val="00312384"/>
    <w:rsid w:val="003142C0"/>
    <w:rsid w:val="003144C6"/>
    <w:rsid w:val="00314566"/>
    <w:rsid w:val="00316F15"/>
    <w:rsid w:val="0031739B"/>
    <w:rsid w:val="00320AE1"/>
    <w:rsid w:val="00323177"/>
    <w:rsid w:val="003232E7"/>
    <w:rsid w:val="00323FB0"/>
    <w:rsid w:val="00324631"/>
    <w:rsid w:val="003247DA"/>
    <w:rsid w:val="00324D4A"/>
    <w:rsid w:val="00326B99"/>
    <w:rsid w:val="0032762C"/>
    <w:rsid w:val="00327988"/>
    <w:rsid w:val="00327F51"/>
    <w:rsid w:val="003309A7"/>
    <w:rsid w:val="00330F08"/>
    <w:rsid w:val="00330F3E"/>
    <w:rsid w:val="00331F93"/>
    <w:rsid w:val="003324FD"/>
    <w:rsid w:val="00332AB5"/>
    <w:rsid w:val="00332DDB"/>
    <w:rsid w:val="003353A4"/>
    <w:rsid w:val="003358FC"/>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6E9A"/>
    <w:rsid w:val="003474D9"/>
    <w:rsid w:val="0034766B"/>
    <w:rsid w:val="00347912"/>
    <w:rsid w:val="00347F42"/>
    <w:rsid w:val="00347FCB"/>
    <w:rsid w:val="0035021D"/>
    <w:rsid w:val="0035023B"/>
    <w:rsid w:val="00350AB3"/>
    <w:rsid w:val="00350C3C"/>
    <w:rsid w:val="00351152"/>
    <w:rsid w:val="0035122E"/>
    <w:rsid w:val="003518A9"/>
    <w:rsid w:val="00351CC8"/>
    <w:rsid w:val="003524F9"/>
    <w:rsid w:val="00353944"/>
    <w:rsid w:val="00354387"/>
    <w:rsid w:val="003545AB"/>
    <w:rsid w:val="00354BF7"/>
    <w:rsid w:val="00354D46"/>
    <w:rsid w:val="003556C6"/>
    <w:rsid w:val="00355AEF"/>
    <w:rsid w:val="00355CDA"/>
    <w:rsid w:val="00355ED9"/>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D48"/>
    <w:rsid w:val="00372FCC"/>
    <w:rsid w:val="003739F2"/>
    <w:rsid w:val="00376915"/>
    <w:rsid w:val="003772DB"/>
    <w:rsid w:val="00377389"/>
    <w:rsid w:val="00377AD1"/>
    <w:rsid w:val="00380281"/>
    <w:rsid w:val="00380287"/>
    <w:rsid w:val="003802C8"/>
    <w:rsid w:val="00380A92"/>
    <w:rsid w:val="00380ECB"/>
    <w:rsid w:val="00381F70"/>
    <w:rsid w:val="003828B3"/>
    <w:rsid w:val="00383DC5"/>
    <w:rsid w:val="0038666E"/>
    <w:rsid w:val="00387153"/>
    <w:rsid w:val="00387A73"/>
    <w:rsid w:val="00390858"/>
    <w:rsid w:val="00390BAC"/>
    <w:rsid w:val="003910DE"/>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4F77"/>
    <w:rsid w:val="003A6508"/>
    <w:rsid w:val="003A6FB2"/>
    <w:rsid w:val="003A7C11"/>
    <w:rsid w:val="003B0032"/>
    <w:rsid w:val="003B0DC0"/>
    <w:rsid w:val="003B0E5F"/>
    <w:rsid w:val="003B11BB"/>
    <w:rsid w:val="003B1472"/>
    <w:rsid w:val="003B2A39"/>
    <w:rsid w:val="003B2BB6"/>
    <w:rsid w:val="003B3F79"/>
    <w:rsid w:val="003B4436"/>
    <w:rsid w:val="003B4B0D"/>
    <w:rsid w:val="003B4DAD"/>
    <w:rsid w:val="003B560B"/>
    <w:rsid w:val="003B58B2"/>
    <w:rsid w:val="003B5C12"/>
    <w:rsid w:val="003B5D25"/>
    <w:rsid w:val="003B5E0B"/>
    <w:rsid w:val="003B74D9"/>
    <w:rsid w:val="003C0D20"/>
    <w:rsid w:val="003C235C"/>
    <w:rsid w:val="003C292A"/>
    <w:rsid w:val="003C293F"/>
    <w:rsid w:val="003C2A55"/>
    <w:rsid w:val="003C3609"/>
    <w:rsid w:val="003C4566"/>
    <w:rsid w:val="003C5342"/>
    <w:rsid w:val="003C561B"/>
    <w:rsid w:val="003C56A9"/>
    <w:rsid w:val="003C7491"/>
    <w:rsid w:val="003C7737"/>
    <w:rsid w:val="003C7F06"/>
    <w:rsid w:val="003D1571"/>
    <w:rsid w:val="003D328F"/>
    <w:rsid w:val="003D33EF"/>
    <w:rsid w:val="003D3A7F"/>
    <w:rsid w:val="003D4D29"/>
    <w:rsid w:val="003D544A"/>
    <w:rsid w:val="003D55CE"/>
    <w:rsid w:val="003D63AC"/>
    <w:rsid w:val="003D6A5B"/>
    <w:rsid w:val="003D7595"/>
    <w:rsid w:val="003D7FAC"/>
    <w:rsid w:val="003E2090"/>
    <w:rsid w:val="003E3183"/>
    <w:rsid w:val="003E345F"/>
    <w:rsid w:val="003E3CBC"/>
    <w:rsid w:val="003E4089"/>
    <w:rsid w:val="003E4AD0"/>
    <w:rsid w:val="003E5DC4"/>
    <w:rsid w:val="003E621B"/>
    <w:rsid w:val="003E6C93"/>
    <w:rsid w:val="003E6D1B"/>
    <w:rsid w:val="003E6D56"/>
    <w:rsid w:val="003E7736"/>
    <w:rsid w:val="003F0884"/>
    <w:rsid w:val="003F0C4F"/>
    <w:rsid w:val="003F108C"/>
    <w:rsid w:val="003F221F"/>
    <w:rsid w:val="003F28E7"/>
    <w:rsid w:val="003F328E"/>
    <w:rsid w:val="003F3782"/>
    <w:rsid w:val="003F3AAC"/>
    <w:rsid w:val="003F3EA8"/>
    <w:rsid w:val="003F3FA8"/>
    <w:rsid w:val="003F4DAD"/>
    <w:rsid w:val="003F536A"/>
    <w:rsid w:val="003F570C"/>
    <w:rsid w:val="003F6462"/>
    <w:rsid w:val="003F6E59"/>
    <w:rsid w:val="003F77AA"/>
    <w:rsid w:val="003F7B6F"/>
    <w:rsid w:val="00400616"/>
    <w:rsid w:val="0040395B"/>
    <w:rsid w:val="00403A3D"/>
    <w:rsid w:val="0040445B"/>
    <w:rsid w:val="00404AAF"/>
    <w:rsid w:val="00404BC3"/>
    <w:rsid w:val="00404F81"/>
    <w:rsid w:val="004053B6"/>
    <w:rsid w:val="0040586A"/>
    <w:rsid w:val="0040794D"/>
    <w:rsid w:val="0040797D"/>
    <w:rsid w:val="00410210"/>
    <w:rsid w:val="0041278E"/>
    <w:rsid w:val="0041364A"/>
    <w:rsid w:val="00414A2A"/>
    <w:rsid w:val="00415114"/>
    <w:rsid w:val="0041529B"/>
    <w:rsid w:val="00415320"/>
    <w:rsid w:val="00415848"/>
    <w:rsid w:val="0041689E"/>
    <w:rsid w:val="004202C8"/>
    <w:rsid w:val="004207F0"/>
    <w:rsid w:val="00421173"/>
    <w:rsid w:val="004214B7"/>
    <w:rsid w:val="0042194D"/>
    <w:rsid w:val="00422308"/>
    <w:rsid w:val="00424073"/>
    <w:rsid w:val="0042483F"/>
    <w:rsid w:val="0042693C"/>
    <w:rsid w:val="00427167"/>
    <w:rsid w:val="0042724A"/>
    <w:rsid w:val="00427327"/>
    <w:rsid w:val="00427946"/>
    <w:rsid w:val="00430439"/>
    <w:rsid w:val="0043044A"/>
    <w:rsid w:val="004305EC"/>
    <w:rsid w:val="00430F9B"/>
    <w:rsid w:val="0043175E"/>
    <w:rsid w:val="00432043"/>
    <w:rsid w:val="00432060"/>
    <w:rsid w:val="004328C8"/>
    <w:rsid w:val="00433E3B"/>
    <w:rsid w:val="00434866"/>
    <w:rsid w:val="00434882"/>
    <w:rsid w:val="00434D7F"/>
    <w:rsid w:val="00435771"/>
    <w:rsid w:val="00435DEC"/>
    <w:rsid w:val="00435ED7"/>
    <w:rsid w:val="004361C2"/>
    <w:rsid w:val="00436981"/>
    <w:rsid w:val="0044011D"/>
    <w:rsid w:val="00440678"/>
    <w:rsid w:val="00440931"/>
    <w:rsid w:val="00441F79"/>
    <w:rsid w:val="0044302A"/>
    <w:rsid w:val="0044310D"/>
    <w:rsid w:val="00443620"/>
    <w:rsid w:val="00443A20"/>
    <w:rsid w:val="004441C3"/>
    <w:rsid w:val="004460E0"/>
    <w:rsid w:val="00451490"/>
    <w:rsid w:val="004514A3"/>
    <w:rsid w:val="004514EA"/>
    <w:rsid w:val="00451941"/>
    <w:rsid w:val="00451C9C"/>
    <w:rsid w:val="004526A9"/>
    <w:rsid w:val="00452703"/>
    <w:rsid w:val="00452A0F"/>
    <w:rsid w:val="0045304A"/>
    <w:rsid w:val="0045403F"/>
    <w:rsid w:val="004542CB"/>
    <w:rsid w:val="00454A46"/>
    <w:rsid w:val="00454E38"/>
    <w:rsid w:val="0045503D"/>
    <w:rsid w:val="0045540B"/>
    <w:rsid w:val="00456DC8"/>
    <w:rsid w:val="004579B9"/>
    <w:rsid w:val="00457F0F"/>
    <w:rsid w:val="00460365"/>
    <w:rsid w:val="00460380"/>
    <w:rsid w:val="0046128E"/>
    <w:rsid w:val="0046138A"/>
    <w:rsid w:val="00461941"/>
    <w:rsid w:val="00461FF6"/>
    <w:rsid w:val="00462062"/>
    <w:rsid w:val="00462C7E"/>
    <w:rsid w:val="00463E50"/>
    <w:rsid w:val="004642B5"/>
    <w:rsid w:val="0046463E"/>
    <w:rsid w:val="00466CBC"/>
    <w:rsid w:val="00470216"/>
    <w:rsid w:val="004710E2"/>
    <w:rsid w:val="0047123B"/>
    <w:rsid w:val="00471DDC"/>
    <w:rsid w:val="004721FA"/>
    <w:rsid w:val="00472754"/>
    <w:rsid w:val="004730FB"/>
    <w:rsid w:val="00474156"/>
    <w:rsid w:val="0047634B"/>
    <w:rsid w:val="00477025"/>
    <w:rsid w:val="004778A8"/>
    <w:rsid w:val="00477E6A"/>
    <w:rsid w:val="00482557"/>
    <w:rsid w:val="004825AA"/>
    <w:rsid w:val="004835A3"/>
    <w:rsid w:val="00483BB9"/>
    <w:rsid w:val="00483C82"/>
    <w:rsid w:val="00484926"/>
    <w:rsid w:val="00485D4D"/>
    <w:rsid w:val="004863D3"/>
    <w:rsid w:val="004873C2"/>
    <w:rsid w:val="004875E4"/>
    <w:rsid w:val="0048776B"/>
    <w:rsid w:val="00487A5B"/>
    <w:rsid w:val="00491157"/>
    <w:rsid w:val="00491762"/>
    <w:rsid w:val="00492BC1"/>
    <w:rsid w:val="00492F95"/>
    <w:rsid w:val="00493AFB"/>
    <w:rsid w:val="00493F3A"/>
    <w:rsid w:val="00494777"/>
    <w:rsid w:val="0049498F"/>
    <w:rsid w:val="004950A4"/>
    <w:rsid w:val="004960F5"/>
    <w:rsid w:val="00497497"/>
    <w:rsid w:val="004A152E"/>
    <w:rsid w:val="004A1931"/>
    <w:rsid w:val="004A255D"/>
    <w:rsid w:val="004A2F38"/>
    <w:rsid w:val="004A4EF1"/>
    <w:rsid w:val="004A4F3B"/>
    <w:rsid w:val="004A5338"/>
    <w:rsid w:val="004A53BD"/>
    <w:rsid w:val="004A69E4"/>
    <w:rsid w:val="004A6E10"/>
    <w:rsid w:val="004A7FF3"/>
    <w:rsid w:val="004B0297"/>
    <w:rsid w:val="004B03AA"/>
    <w:rsid w:val="004B2192"/>
    <w:rsid w:val="004B27E2"/>
    <w:rsid w:val="004B28DA"/>
    <w:rsid w:val="004B2969"/>
    <w:rsid w:val="004B2F55"/>
    <w:rsid w:val="004B2F79"/>
    <w:rsid w:val="004B3871"/>
    <w:rsid w:val="004B4161"/>
    <w:rsid w:val="004B4B68"/>
    <w:rsid w:val="004B4BFC"/>
    <w:rsid w:val="004B54B5"/>
    <w:rsid w:val="004B6A3B"/>
    <w:rsid w:val="004B7591"/>
    <w:rsid w:val="004B7792"/>
    <w:rsid w:val="004B7921"/>
    <w:rsid w:val="004C134F"/>
    <w:rsid w:val="004C16FD"/>
    <w:rsid w:val="004C2972"/>
    <w:rsid w:val="004C374B"/>
    <w:rsid w:val="004C5219"/>
    <w:rsid w:val="004C5CBB"/>
    <w:rsid w:val="004C61A5"/>
    <w:rsid w:val="004C70A6"/>
    <w:rsid w:val="004D0543"/>
    <w:rsid w:val="004D0DCE"/>
    <w:rsid w:val="004D1C93"/>
    <w:rsid w:val="004D223C"/>
    <w:rsid w:val="004D2605"/>
    <w:rsid w:val="004D29F4"/>
    <w:rsid w:val="004D2EA7"/>
    <w:rsid w:val="004D451A"/>
    <w:rsid w:val="004D4844"/>
    <w:rsid w:val="004D48A3"/>
    <w:rsid w:val="004D543F"/>
    <w:rsid w:val="004D5BB3"/>
    <w:rsid w:val="004D5ECA"/>
    <w:rsid w:val="004D6371"/>
    <w:rsid w:val="004D639D"/>
    <w:rsid w:val="004D69C6"/>
    <w:rsid w:val="004D6E10"/>
    <w:rsid w:val="004D70CA"/>
    <w:rsid w:val="004D7496"/>
    <w:rsid w:val="004D77AD"/>
    <w:rsid w:val="004D7ADC"/>
    <w:rsid w:val="004E0DAA"/>
    <w:rsid w:val="004E12BB"/>
    <w:rsid w:val="004E1AC3"/>
    <w:rsid w:val="004E22A1"/>
    <w:rsid w:val="004E28C3"/>
    <w:rsid w:val="004E290B"/>
    <w:rsid w:val="004E2EFF"/>
    <w:rsid w:val="004E31E7"/>
    <w:rsid w:val="004E3C96"/>
    <w:rsid w:val="004E4349"/>
    <w:rsid w:val="004E6E4B"/>
    <w:rsid w:val="004E755A"/>
    <w:rsid w:val="004E7749"/>
    <w:rsid w:val="004F0014"/>
    <w:rsid w:val="004F123A"/>
    <w:rsid w:val="004F171E"/>
    <w:rsid w:val="004F184F"/>
    <w:rsid w:val="004F1A28"/>
    <w:rsid w:val="004F25C8"/>
    <w:rsid w:val="004F37CB"/>
    <w:rsid w:val="004F3974"/>
    <w:rsid w:val="004F5B5F"/>
    <w:rsid w:val="004F5E7E"/>
    <w:rsid w:val="004F6266"/>
    <w:rsid w:val="004F6AAF"/>
    <w:rsid w:val="004F6AF0"/>
    <w:rsid w:val="004F6D8F"/>
    <w:rsid w:val="004F7800"/>
    <w:rsid w:val="004F785A"/>
    <w:rsid w:val="004F7EBE"/>
    <w:rsid w:val="00500C14"/>
    <w:rsid w:val="005015D6"/>
    <w:rsid w:val="0050163E"/>
    <w:rsid w:val="00501697"/>
    <w:rsid w:val="0050203D"/>
    <w:rsid w:val="005029BC"/>
    <w:rsid w:val="00502C2B"/>
    <w:rsid w:val="0050402A"/>
    <w:rsid w:val="005048F7"/>
    <w:rsid w:val="0050524D"/>
    <w:rsid w:val="005058EE"/>
    <w:rsid w:val="005061C8"/>
    <w:rsid w:val="00506296"/>
    <w:rsid w:val="0050683D"/>
    <w:rsid w:val="00506A52"/>
    <w:rsid w:val="005077BD"/>
    <w:rsid w:val="00507A9E"/>
    <w:rsid w:val="00510FD7"/>
    <w:rsid w:val="00511523"/>
    <w:rsid w:val="00512296"/>
    <w:rsid w:val="005126BC"/>
    <w:rsid w:val="00512E3D"/>
    <w:rsid w:val="005130C3"/>
    <w:rsid w:val="005135DC"/>
    <w:rsid w:val="00513FB0"/>
    <w:rsid w:val="00514A66"/>
    <w:rsid w:val="00517124"/>
    <w:rsid w:val="005171EE"/>
    <w:rsid w:val="005173CF"/>
    <w:rsid w:val="0051760C"/>
    <w:rsid w:val="00517DF1"/>
    <w:rsid w:val="00517E8E"/>
    <w:rsid w:val="00520982"/>
    <w:rsid w:val="005209D1"/>
    <w:rsid w:val="00520C58"/>
    <w:rsid w:val="00521FB4"/>
    <w:rsid w:val="005226F7"/>
    <w:rsid w:val="00525D63"/>
    <w:rsid w:val="005260E6"/>
    <w:rsid w:val="00526916"/>
    <w:rsid w:val="005269B8"/>
    <w:rsid w:val="00530277"/>
    <w:rsid w:val="00531BC3"/>
    <w:rsid w:val="0053264A"/>
    <w:rsid w:val="00532C0E"/>
    <w:rsid w:val="00533B84"/>
    <w:rsid w:val="00534918"/>
    <w:rsid w:val="00534C93"/>
    <w:rsid w:val="00535F6E"/>
    <w:rsid w:val="00537FCD"/>
    <w:rsid w:val="0054156E"/>
    <w:rsid w:val="005417FB"/>
    <w:rsid w:val="00541B38"/>
    <w:rsid w:val="00541DA1"/>
    <w:rsid w:val="00543C86"/>
    <w:rsid w:val="00544249"/>
    <w:rsid w:val="00544E60"/>
    <w:rsid w:val="005452E5"/>
    <w:rsid w:val="005457AC"/>
    <w:rsid w:val="00545B0B"/>
    <w:rsid w:val="00546806"/>
    <w:rsid w:val="00547A4B"/>
    <w:rsid w:val="00547A7E"/>
    <w:rsid w:val="00547E4F"/>
    <w:rsid w:val="005501D2"/>
    <w:rsid w:val="005505F2"/>
    <w:rsid w:val="00551EBD"/>
    <w:rsid w:val="00552538"/>
    <w:rsid w:val="005534C2"/>
    <w:rsid w:val="00553729"/>
    <w:rsid w:val="00553832"/>
    <w:rsid w:val="005554CC"/>
    <w:rsid w:val="0055556D"/>
    <w:rsid w:val="00555EBF"/>
    <w:rsid w:val="00556917"/>
    <w:rsid w:val="005570FF"/>
    <w:rsid w:val="00557739"/>
    <w:rsid w:val="005579E5"/>
    <w:rsid w:val="00557C9D"/>
    <w:rsid w:val="00557D6B"/>
    <w:rsid w:val="00557EF2"/>
    <w:rsid w:val="005601F0"/>
    <w:rsid w:val="00560685"/>
    <w:rsid w:val="0056163C"/>
    <w:rsid w:val="00561834"/>
    <w:rsid w:val="00561A02"/>
    <w:rsid w:val="00561C0C"/>
    <w:rsid w:val="00562207"/>
    <w:rsid w:val="00563ADE"/>
    <w:rsid w:val="00564778"/>
    <w:rsid w:val="0056481D"/>
    <w:rsid w:val="00564F6E"/>
    <w:rsid w:val="00565830"/>
    <w:rsid w:val="00565AE0"/>
    <w:rsid w:val="00565D45"/>
    <w:rsid w:val="00566E5D"/>
    <w:rsid w:val="00567298"/>
    <w:rsid w:val="005677BC"/>
    <w:rsid w:val="005700A0"/>
    <w:rsid w:val="00570994"/>
    <w:rsid w:val="005712F3"/>
    <w:rsid w:val="00571DCE"/>
    <w:rsid w:val="005727CE"/>
    <w:rsid w:val="00572A0C"/>
    <w:rsid w:val="005743F4"/>
    <w:rsid w:val="00574968"/>
    <w:rsid w:val="00574D34"/>
    <w:rsid w:val="005752F4"/>
    <w:rsid w:val="00575903"/>
    <w:rsid w:val="00575DBF"/>
    <w:rsid w:val="005778A2"/>
    <w:rsid w:val="005778F8"/>
    <w:rsid w:val="00581587"/>
    <w:rsid w:val="00582610"/>
    <w:rsid w:val="00582B3D"/>
    <w:rsid w:val="00582F34"/>
    <w:rsid w:val="005831A4"/>
    <w:rsid w:val="005838C9"/>
    <w:rsid w:val="00583D57"/>
    <w:rsid w:val="00584C08"/>
    <w:rsid w:val="00585203"/>
    <w:rsid w:val="005852C9"/>
    <w:rsid w:val="0058574A"/>
    <w:rsid w:val="00585E43"/>
    <w:rsid w:val="00586B01"/>
    <w:rsid w:val="0058717F"/>
    <w:rsid w:val="00587784"/>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B7D57"/>
    <w:rsid w:val="005C022F"/>
    <w:rsid w:val="005C16FD"/>
    <w:rsid w:val="005C1BB3"/>
    <w:rsid w:val="005C2ACE"/>
    <w:rsid w:val="005C3A6F"/>
    <w:rsid w:val="005C3A77"/>
    <w:rsid w:val="005C507F"/>
    <w:rsid w:val="005C655A"/>
    <w:rsid w:val="005C67B4"/>
    <w:rsid w:val="005C6DD8"/>
    <w:rsid w:val="005C73A0"/>
    <w:rsid w:val="005C73DD"/>
    <w:rsid w:val="005D0147"/>
    <w:rsid w:val="005D02D8"/>
    <w:rsid w:val="005D0DAD"/>
    <w:rsid w:val="005D1307"/>
    <w:rsid w:val="005D1963"/>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B51"/>
    <w:rsid w:val="005E7297"/>
    <w:rsid w:val="005E7414"/>
    <w:rsid w:val="005E76CF"/>
    <w:rsid w:val="005F077E"/>
    <w:rsid w:val="005F141D"/>
    <w:rsid w:val="005F1421"/>
    <w:rsid w:val="005F15DD"/>
    <w:rsid w:val="005F2A71"/>
    <w:rsid w:val="005F2E7E"/>
    <w:rsid w:val="005F4674"/>
    <w:rsid w:val="005F70F0"/>
    <w:rsid w:val="005F768A"/>
    <w:rsid w:val="006004D7"/>
    <w:rsid w:val="006012DA"/>
    <w:rsid w:val="00601BE7"/>
    <w:rsid w:val="00602556"/>
    <w:rsid w:val="0060423A"/>
    <w:rsid w:val="006043D2"/>
    <w:rsid w:val="0060453D"/>
    <w:rsid w:val="00604CDB"/>
    <w:rsid w:val="0060520D"/>
    <w:rsid w:val="006053B0"/>
    <w:rsid w:val="006057A8"/>
    <w:rsid w:val="0060669E"/>
    <w:rsid w:val="006068C8"/>
    <w:rsid w:val="00606D5B"/>
    <w:rsid w:val="00607A27"/>
    <w:rsid w:val="006112F9"/>
    <w:rsid w:val="00611B3A"/>
    <w:rsid w:val="00612047"/>
    <w:rsid w:val="0061250B"/>
    <w:rsid w:val="00613621"/>
    <w:rsid w:val="00613751"/>
    <w:rsid w:val="00614390"/>
    <w:rsid w:val="00614EEE"/>
    <w:rsid w:val="0061522F"/>
    <w:rsid w:val="0061550C"/>
    <w:rsid w:val="0061568C"/>
    <w:rsid w:val="0061569D"/>
    <w:rsid w:val="00615EAC"/>
    <w:rsid w:val="00616B41"/>
    <w:rsid w:val="0062100B"/>
    <w:rsid w:val="00621242"/>
    <w:rsid w:val="0062190F"/>
    <w:rsid w:val="00621D20"/>
    <w:rsid w:val="00624542"/>
    <w:rsid w:val="0062496B"/>
    <w:rsid w:val="00625245"/>
    <w:rsid w:val="0062549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02A"/>
    <w:rsid w:val="006413BE"/>
    <w:rsid w:val="0064299C"/>
    <w:rsid w:val="00642BCD"/>
    <w:rsid w:val="006433A1"/>
    <w:rsid w:val="006441B7"/>
    <w:rsid w:val="006446F1"/>
    <w:rsid w:val="0064488E"/>
    <w:rsid w:val="00645108"/>
    <w:rsid w:val="006458BA"/>
    <w:rsid w:val="00645A6B"/>
    <w:rsid w:val="006460BF"/>
    <w:rsid w:val="00647F3E"/>
    <w:rsid w:val="00650218"/>
    <w:rsid w:val="0065075E"/>
    <w:rsid w:val="00650C7E"/>
    <w:rsid w:val="0065175A"/>
    <w:rsid w:val="0065197F"/>
    <w:rsid w:val="0065307D"/>
    <w:rsid w:val="0065329D"/>
    <w:rsid w:val="0065338F"/>
    <w:rsid w:val="00653A60"/>
    <w:rsid w:val="006553B1"/>
    <w:rsid w:val="0065668D"/>
    <w:rsid w:val="0065677B"/>
    <w:rsid w:val="0065794F"/>
    <w:rsid w:val="0066000F"/>
    <w:rsid w:val="00661A7B"/>
    <w:rsid w:val="0066202A"/>
    <w:rsid w:val="00662C6D"/>
    <w:rsid w:val="00662E6E"/>
    <w:rsid w:val="0066303C"/>
    <w:rsid w:val="00663B73"/>
    <w:rsid w:val="00663B8D"/>
    <w:rsid w:val="00663C00"/>
    <w:rsid w:val="006651DD"/>
    <w:rsid w:val="0066597F"/>
    <w:rsid w:val="00666018"/>
    <w:rsid w:val="00666877"/>
    <w:rsid w:val="0066698F"/>
    <w:rsid w:val="00667ADA"/>
    <w:rsid w:val="00670FBD"/>
    <w:rsid w:val="006710E7"/>
    <w:rsid w:val="00671930"/>
    <w:rsid w:val="006722A8"/>
    <w:rsid w:val="006722CE"/>
    <w:rsid w:val="006731EA"/>
    <w:rsid w:val="006739A2"/>
    <w:rsid w:val="00674FBB"/>
    <w:rsid w:val="006759C2"/>
    <w:rsid w:val="00675C42"/>
    <w:rsid w:val="00676B6E"/>
    <w:rsid w:val="006778BE"/>
    <w:rsid w:val="0068016F"/>
    <w:rsid w:val="00680C0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1295"/>
    <w:rsid w:val="006918A9"/>
    <w:rsid w:val="00691C25"/>
    <w:rsid w:val="00691FF7"/>
    <w:rsid w:val="00693119"/>
    <w:rsid w:val="0069313A"/>
    <w:rsid w:val="006935D4"/>
    <w:rsid w:val="00693A38"/>
    <w:rsid w:val="00694BC8"/>
    <w:rsid w:val="00694F6F"/>
    <w:rsid w:val="006952C2"/>
    <w:rsid w:val="006957BD"/>
    <w:rsid w:val="00695CBA"/>
    <w:rsid w:val="00697CA8"/>
    <w:rsid w:val="006A0EE5"/>
    <w:rsid w:val="006A1073"/>
    <w:rsid w:val="006A1C23"/>
    <w:rsid w:val="006A475A"/>
    <w:rsid w:val="006A6E07"/>
    <w:rsid w:val="006B0BEB"/>
    <w:rsid w:val="006B1145"/>
    <w:rsid w:val="006B19A4"/>
    <w:rsid w:val="006B1E9B"/>
    <w:rsid w:val="006B1F85"/>
    <w:rsid w:val="006B24D1"/>
    <w:rsid w:val="006B3920"/>
    <w:rsid w:val="006B3992"/>
    <w:rsid w:val="006B3C74"/>
    <w:rsid w:val="006B4042"/>
    <w:rsid w:val="006B47C7"/>
    <w:rsid w:val="006B4D64"/>
    <w:rsid w:val="006B4F1A"/>
    <w:rsid w:val="006B558C"/>
    <w:rsid w:val="006B598B"/>
    <w:rsid w:val="006B6381"/>
    <w:rsid w:val="006B672D"/>
    <w:rsid w:val="006B723B"/>
    <w:rsid w:val="006B74BD"/>
    <w:rsid w:val="006C0AAD"/>
    <w:rsid w:val="006C125C"/>
    <w:rsid w:val="006C1694"/>
    <w:rsid w:val="006C19B2"/>
    <w:rsid w:val="006C1C19"/>
    <w:rsid w:val="006C2556"/>
    <w:rsid w:val="006C3990"/>
    <w:rsid w:val="006C3D6B"/>
    <w:rsid w:val="006C3E18"/>
    <w:rsid w:val="006C43A6"/>
    <w:rsid w:val="006C48C4"/>
    <w:rsid w:val="006C4DED"/>
    <w:rsid w:val="006C6EAD"/>
    <w:rsid w:val="006C6F4F"/>
    <w:rsid w:val="006D086D"/>
    <w:rsid w:val="006D29B7"/>
    <w:rsid w:val="006D335E"/>
    <w:rsid w:val="006D4134"/>
    <w:rsid w:val="006D4B75"/>
    <w:rsid w:val="006D50BE"/>
    <w:rsid w:val="006D6720"/>
    <w:rsid w:val="006D7381"/>
    <w:rsid w:val="006D763B"/>
    <w:rsid w:val="006E022A"/>
    <w:rsid w:val="006E0307"/>
    <w:rsid w:val="006E03F7"/>
    <w:rsid w:val="006E2069"/>
    <w:rsid w:val="006E2558"/>
    <w:rsid w:val="006E265E"/>
    <w:rsid w:val="006E315A"/>
    <w:rsid w:val="006E4629"/>
    <w:rsid w:val="006E48FA"/>
    <w:rsid w:val="006E4BEF"/>
    <w:rsid w:val="006E5019"/>
    <w:rsid w:val="006E57D9"/>
    <w:rsid w:val="006E5B23"/>
    <w:rsid w:val="006E6232"/>
    <w:rsid w:val="006E66DF"/>
    <w:rsid w:val="006E7605"/>
    <w:rsid w:val="006E7D10"/>
    <w:rsid w:val="006F0401"/>
    <w:rsid w:val="006F122A"/>
    <w:rsid w:val="006F17F7"/>
    <w:rsid w:val="006F1DDB"/>
    <w:rsid w:val="006F205A"/>
    <w:rsid w:val="006F2B4E"/>
    <w:rsid w:val="006F35A8"/>
    <w:rsid w:val="006F39AD"/>
    <w:rsid w:val="006F3F93"/>
    <w:rsid w:val="006F41A1"/>
    <w:rsid w:val="006F6325"/>
    <w:rsid w:val="006F6714"/>
    <w:rsid w:val="006F6DCC"/>
    <w:rsid w:val="00700114"/>
    <w:rsid w:val="00700871"/>
    <w:rsid w:val="00700A66"/>
    <w:rsid w:val="00702052"/>
    <w:rsid w:val="00702501"/>
    <w:rsid w:val="0070306C"/>
    <w:rsid w:val="0070395C"/>
    <w:rsid w:val="00703A2C"/>
    <w:rsid w:val="007041F9"/>
    <w:rsid w:val="0070434D"/>
    <w:rsid w:val="007045F9"/>
    <w:rsid w:val="007050AB"/>
    <w:rsid w:val="00705C52"/>
    <w:rsid w:val="00705F7F"/>
    <w:rsid w:val="007062A1"/>
    <w:rsid w:val="007063A3"/>
    <w:rsid w:val="00706868"/>
    <w:rsid w:val="007079FD"/>
    <w:rsid w:val="0071098F"/>
    <w:rsid w:val="00710F37"/>
    <w:rsid w:val="00712081"/>
    <w:rsid w:val="00712405"/>
    <w:rsid w:val="007129BD"/>
    <w:rsid w:val="00713713"/>
    <w:rsid w:val="00713941"/>
    <w:rsid w:val="007143FB"/>
    <w:rsid w:val="007149D1"/>
    <w:rsid w:val="00716092"/>
    <w:rsid w:val="0071614D"/>
    <w:rsid w:val="007174CA"/>
    <w:rsid w:val="00720292"/>
    <w:rsid w:val="00720399"/>
    <w:rsid w:val="0072274C"/>
    <w:rsid w:val="007228CA"/>
    <w:rsid w:val="00722F46"/>
    <w:rsid w:val="00722FD2"/>
    <w:rsid w:val="0072353B"/>
    <w:rsid w:val="007235C4"/>
    <w:rsid w:val="0072389B"/>
    <w:rsid w:val="0072502F"/>
    <w:rsid w:val="007276F3"/>
    <w:rsid w:val="007302E2"/>
    <w:rsid w:val="00730914"/>
    <w:rsid w:val="00730E68"/>
    <w:rsid w:val="0073155F"/>
    <w:rsid w:val="00731ABE"/>
    <w:rsid w:val="00731B78"/>
    <w:rsid w:val="007325B4"/>
    <w:rsid w:val="00732B59"/>
    <w:rsid w:val="00733D0B"/>
    <w:rsid w:val="00733F1F"/>
    <w:rsid w:val="007346D8"/>
    <w:rsid w:val="0073643D"/>
    <w:rsid w:val="007370B6"/>
    <w:rsid w:val="00740C47"/>
    <w:rsid w:val="007413B7"/>
    <w:rsid w:val="00741C61"/>
    <w:rsid w:val="00743126"/>
    <w:rsid w:val="007434F8"/>
    <w:rsid w:val="007443D0"/>
    <w:rsid w:val="007445F9"/>
    <w:rsid w:val="00744869"/>
    <w:rsid w:val="00745D18"/>
    <w:rsid w:val="00746814"/>
    <w:rsid w:val="00746E20"/>
    <w:rsid w:val="0074709E"/>
    <w:rsid w:val="00747443"/>
    <w:rsid w:val="007475AD"/>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1DE2"/>
    <w:rsid w:val="00762072"/>
    <w:rsid w:val="00763880"/>
    <w:rsid w:val="007649F8"/>
    <w:rsid w:val="00764E32"/>
    <w:rsid w:val="00764EFA"/>
    <w:rsid w:val="00765454"/>
    <w:rsid w:val="007706ED"/>
    <w:rsid w:val="00770A71"/>
    <w:rsid w:val="00773D77"/>
    <w:rsid w:val="00774A8E"/>
    <w:rsid w:val="00774F03"/>
    <w:rsid w:val="00775DB2"/>
    <w:rsid w:val="0077608B"/>
    <w:rsid w:val="007766CC"/>
    <w:rsid w:val="00777365"/>
    <w:rsid w:val="00777405"/>
    <w:rsid w:val="00777527"/>
    <w:rsid w:val="007775C2"/>
    <w:rsid w:val="00777CF6"/>
    <w:rsid w:val="00777E81"/>
    <w:rsid w:val="007807EF"/>
    <w:rsid w:val="00780A33"/>
    <w:rsid w:val="00781B06"/>
    <w:rsid w:val="007834BD"/>
    <w:rsid w:val="0078455B"/>
    <w:rsid w:val="00784C30"/>
    <w:rsid w:val="00785268"/>
    <w:rsid w:val="0078551D"/>
    <w:rsid w:val="007863CA"/>
    <w:rsid w:val="00786C8D"/>
    <w:rsid w:val="00787B45"/>
    <w:rsid w:val="00790275"/>
    <w:rsid w:val="00790A16"/>
    <w:rsid w:val="00790D3E"/>
    <w:rsid w:val="00790D82"/>
    <w:rsid w:val="00791BD5"/>
    <w:rsid w:val="007928AB"/>
    <w:rsid w:val="00792AA4"/>
    <w:rsid w:val="00793349"/>
    <w:rsid w:val="00794121"/>
    <w:rsid w:val="0079502A"/>
    <w:rsid w:val="0079514C"/>
    <w:rsid w:val="007958B1"/>
    <w:rsid w:val="00795ADC"/>
    <w:rsid w:val="00795F67"/>
    <w:rsid w:val="00795FE9"/>
    <w:rsid w:val="00796968"/>
    <w:rsid w:val="00796C05"/>
    <w:rsid w:val="00797394"/>
    <w:rsid w:val="00797AD9"/>
    <w:rsid w:val="00797FAF"/>
    <w:rsid w:val="007A0797"/>
    <w:rsid w:val="007A07E4"/>
    <w:rsid w:val="007A2B3A"/>
    <w:rsid w:val="007A2BE0"/>
    <w:rsid w:val="007A2F04"/>
    <w:rsid w:val="007A3BA0"/>
    <w:rsid w:val="007A5843"/>
    <w:rsid w:val="007A6053"/>
    <w:rsid w:val="007A67EA"/>
    <w:rsid w:val="007A754C"/>
    <w:rsid w:val="007A7BD8"/>
    <w:rsid w:val="007B06A3"/>
    <w:rsid w:val="007B0752"/>
    <w:rsid w:val="007B1445"/>
    <w:rsid w:val="007B18A7"/>
    <w:rsid w:val="007B2616"/>
    <w:rsid w:val="007B288E"/>
    <w:rsid w:val="007B2F3C"/>
    <w:rsid w:val="007B3A13"/>
    <w:rsid w:val="007B405C"/>
    <w:rsid w:val="007B4174"/>
    <w:rsid w:val="007B431E"/>
    <w:rsid w:val="007B46B7"/>
    <w:rsid w:val="007B4771"/>
    <w:rsid w:val="007B47D1"/>
    <w:rsid w:val="007B5253"/>
    <w:rsid w:val="007B6EAE"/>
    <w:rsid w:val="007B70B3"/>
    <w:rsid w:val="007B743C"/>
    <w:rsid w:val="007B794C"/>
    <w:rsid w:val="007B7A3A"/>
    <w:rsid w:val="007C0283"/>
    <w:rsid w:val="007C180A"/>
    <w:rsid w:val="007C273D"/>
    <w:rsid w:val="007C29C8"/>
    <w:rsid w:val="007C2B33"/>
    <w:rsid w:val="007C3636"/>
    <w:rsid w:val="007C4DA9"/>
    <w:rsid w:val="007C5E21"/>
    <w:rsid w:val="007C5EFC"/>
    <w:rsid w:val="007C66D6"/>
    <w:rsid w:val="007C66E7"/>
    <w:rsid w:val="007C6F5C"/>
    <w:rsid w:val="007C7ED8"/>
    <w:rsid w:val="007D0563"/>
    <w:rsid w:val="007D0CED"/>
    <w:rsid w:val="007D12D0"/>
    <w:rsid w:val="007D20E0"/>
    <w:rsid w:val="007D36F7"/>
    <w:rsid w:val="007D3832"/>
    <w:rsid w:val="007D3F3B"/>
    <w:rsid w:val="007D4779"/>
    <w:rsid w:val="007D53EF"/>
    <w:rsid w:val="007D55E1"/>
    <w:rsid w:val="007D591A"/>
    <w:rsid w:val="007D5C5F"/>
    <w:rsid w:val="007D6757"/>
    <w:rsid w:val="007D67E2"/>
    <w:rsid w:val="007D6CE7"/>
    <w:rsid w:val="007D6EC5"/>
    <w:rsid w:val="007E01A4"/>
    <w:rsid w:val="007E1246"/>
    <w:rsid w:val="007E130E"/>
    <w:rsid w:val="007E1A1F"/>
    <w:rsid w:val="007E212D"/>
    <w:rsid w:val="007E25B0"/>
    <w:rsid w:val="007E2A9A"/>
    <w:rsid w:val="007E2E20"/>
    <w:rsid w:val="007E3EE6"/>
    <w:rsid w:val="007E48C1"/>
    <w:rsid w:val="007E4A8B"/>
    <w:rsid w:val="007E4E86"/>
    <w:rsid w:val="007E5951"/>
    <w:rsid w:val="007E68A6"/>
    <w:rsid w:val="007E6DE9"/>
    <w:rsid w:val="007E7B67"/>
    <w:rsid w:val="007F032A"/>
    <w:rsid w:val="007F05F4"/>
    <w:rsid w:val="007F0F01"/>
    <w:rsid w:val="007F2912"/>
    <w:rsid w:val="007F563B"/>
    <w:rsid w:val="007F56D0"/>
    <w:rsid w:val="007F5714"/>
    <w:rsid w:val="007F6327"/>
    <w:rsid w:val="007F6BA5"/>
    <w:rsid w:val="007F7A2C"/>
    <w:rsid w:val="00800533"/>
    <w:rsid w:val="00800C1D"/>
    <w:rsid w:val="0080102D"/>
    <w:rsid w:val="00801E1A"/>
    <w:rsid w:val="00803569"/>
    <w:rsid w:val="008035D9"/>
    <w:rsid w:val="00803806"/>
    <w:rsid w:val="00803916"/>
    <w:rsid w:val="00803971"/>
    <w:rsid w:val="00803E70"/>
    <w:rsid w:val="008047CE"/>
    <w:rsid w:val="008052DA"/>
    <w:rsid w:val="00805355"/>
    <w:rsid w:val="00806139"/>
    <w:rsid w:val="008069D7"/>
    <w:rsid w:val="008103C5"/>
    <w:rsid w:val="00810754"/>
    <w:rsid w:val="00810EAE"/>
    <w:rsid w:val="00811347"/>
    <w:rsid w:val="00811444"/>
    <w:rsid w:val="00812F51"/>
    <w:rsid w:val="00813181"/>
    <w:rsid w:val="0081341F"/>
    <w:rsid w:val="00814CFA"/>
    <w:rsid w:val="00815FBE"/>
    <w:rsid w:val="00816634"/>
    <w:rsid w:val="00816ACC"/>
    <w:rsid w:val="00817298"/>
    <w:rsid w:val="00820C04"/>
    <w:rsid w:val="00820D30"/>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158"/>
    <w:rsid w:val="00832396"/>
    <w:rsid w:val="0083265D"/>
    <w:rsid w:val="00835787"/>
    <w:rsid w:val="00836146"/>
    <w:rsid w:val="0083624D"/>
    <w:rsid w:val="00837F77"/>
    <w:rsid w:val="00840331"/>
    <w:rsid w:val="00840972"/>
    <w:rsid w:val="00840E94"/>
    <w:rsid w:val="00841550"/>
    <w:rsid w:val="008416C6"/>
    <w:rsid w:val="008429A7"/>
    <w:rsid w:val="00842D5B"/>
    <w:rsid w:val="00842D8B"/>
    <w:rsid w:val="00842EF5"/>
    <w:rsid w:val="0084599C"/>
    <w:rsid w:val="00846BC8"/>
    <w:rsid w:val="00847EDC"/>
    <w:rsid w:val="00850774"/>
    <w:rsid w:val="00851B30"/>
    <w:rsid w:val="0085225E"/>
    <w:rsid w:val="00852D92"/>
    <w:rsid w:val="00854487"/>
    <w:rsid w:val="008547F0"/>
    <w:rsid w:val="0085547D"/>
    <w:rsid w:val="00856931"/>
    <w:rsid w:val="00857291"/>
    <w:rsid w:val="008572AC"/>
    <w:rsid w:val="00857639"/>
    <w:rsid w:val="00857ABA"/>
    <w:rsid w:val="0086049A"/>
    <w:rsid w:val="00863887"/>
    <w:rsid w:val="008644CD"/>
    <w:rsid w:val="0086477F"/>
    <w:rsid w:val="00865FC4"/>
    <w:rsid w:val="00866AB0"/>
    <w:rsid w:val="0086722D"/>
    <w:rsid w:val="008673FF"/>
    <w:rsid w:val="0087082E"/>
    <w:rsid w:val="00872713"/>
    <w:rsid w:val="008732FB"/>
    <w:rsid w:val="00873F9B"/>
    <w:rsid w:val="0087546A"/>
    <w:rsid w:val="00875B72"/>
    <w:rsid w:val="008764A8"/>
    <w:rsid w:val="00876E53"/>
    <w:rsid w:val="008771B6"/>
    <w:rsid w:val="00877716"/>
    <w:rsid w:val="0088000D"/>
    <w:rsid w:val="00881E24"/>
    <w:rsid w:val="0088239A"/>
    <w:rsid w:val="00882BE0"/>
    <w:rsid w:val="00882D6E"/>
    <w:rsid w:val="00883390"/>
    <w:rsid w:val="00883700"/>
    <w:rsid w:val="00883BAD"/>
    <w:rsid w:val="00883D0E"/>
    <w:rsid w:val="00884086"/>
    <w:rsid w:val="008843EE"/>
    <w:rsid w:val="008849CE"/>
    <w:rsid w:val="00884BF2"/>
    <w:rsid w:val="00884CC1"/>
    <w:rsid w:val="00884E20"/>
    <w:rsid w:val="00887CC5"/>
    <w:rsid w:val="00887F41"/>
    <w:rsid w:val="0089010D"/>
    <w:rsid w:val="00890AA0"/>
    <w:rsid w:val="00892B73"/>
    <w:rsid w:val="00893066"/>
    <w:rsid w:val="008940EA"/>
    <w:rsid w:val="00894290"/>
    <w:rsid w:val="00894385"/>
    <w:rsid w:val="008953D4"/>
    <w:rsid w:val="00895F1C"/>
    <w:rsid w:val="00896C44"/>
    <w:rsid w:val="00897679"/>
    <w:rsid w:val="008A0B5D"/>
    <w:rsid w:val="008A116B"/>
    <w:rsid w:val="008A1875"/>
    <w:rsid w:val="008A1D7D"/>
    <w:rsid w:val="008A2D2D"/>
    <w:rsid w:val="008A360B"/>
    <w:rsid w:val="008A53FD"/>
    <w:rsid w:val="008A5CD1"/>
    <w:rsid w:val="008A5CEE"/>
    <w:rsid w:val="008A5EE6"/>
    <w:rsid w:val="008A5FBF"/>
    <w:rsid w:val="008A75FF"/>
    <w:rsid w:val="008A7D85"/>
    <w:rsid w:val="008B178A"/>
    <w:rsid w:val="008B3439"/>
    <w:rsid w:val="008B404A"/>
    <w:rsid w:val="008B475E"/>
    <w:rsid w:val="008B5400"/>
    <w:rsid w:val="008B547D"/>
    <w:rsid w:val="008B5FF4"/>
    <w:rsid w:val="008B6272"/>
    <w:rsid w:val="008B6A5F"/>
    <w:rsid w:val="008B6ADC"/>
    <w:rsid w:val="008B6F9C"/>
    <w:rsid w:val="008C0091"/>
    <w:rsid w:val="008C07C3"/>
    <w:rsid w:val="008C099A"/>
    <w:rsid w:val="008C1107"/>
    <w:rsid w:val="008C1910"/>
    <w:rsid w:val="008C19AE"/>
    <w:rsid w:val="008C1C6C"/>
    <w:rsid w:val="008C24CF"/>
    <w:rsid w:val="008C38BF"/>
    <w:rsid w:val="008C412D"/>
    <w:rsid w:val="008C46E1"/>
    <w:rsid w:val="008C594F"/>
    <w:rsid w:val="008C5C0C"/>
    <w:rsid w:val="008C653C"/>
    <w:rsid w:val="008C68E4"/>
    <w:rsid w:val="008C7215"/>
    <w:rsid w:val="008C77C6"/>
    <w:rsid w:val="008C7E47"/>
    <w:rsid w:val="008D0556"/>
    <w:rsid w:val="008D0775"/>
    <w:rsid w:val="008D1162"/>
    <w:rsid w:val="008D2A00"/>
    <w:rsid w:val="008D3232"/>
    <w:rsid w:val="008D41F2"/>
    <w:rsid w:val="008D4234"/>
    <w:rsid w:val="008D4926"/>
    <w:rsid w:val="008D5624"/>
    <w:rsid w:val="008D5694"/>
    <w:rsid w:val="008D61A2"/>
    <w:rsid w:val="008D61F3"/>
    <w:rsid w:val="008D622A"/>
    <w:rsid w:val="008D78C3"/>
    <w:rsid w:val="008D7B9F"/>
    <w:rsid w:val="008E0023"/>
    <w:rsid w:val="008E09DD"/>
    <w:rsid w:val="008E1579"/>
    <w:rsid w:val="008E170B"/>
    <w:rsid w:val="008E23D5"/>
    <w:rsid w:val="008E2933"/>
    <w:rsid w:val="008E3162"/>
    <w:rsid w:val="008E41DC"/>
    <w:rsid w:val="008E512A"/>
    <w:rsid w:val="008F0B3E"/>
    <w:rsid w:val="008F2305"/>
    <w:rsid w:val="008F3242"/>
    <w:rsid w:val="008F32CF"/>
    <w:rsid w:val="008F4475"/>
    <w:rsid w:val="008F4905"/>
    <w:rsid w:val="008F5180"/>
    <w:rsid w:val="008F5FE2"/>
    <w:rsid w:val="008F6483"/>
    <w:rsid w:val="008F6D33"/>
    <w:rsid w:val="009003E6"/>
    <w:rsid w:val="00901027"/>
    <w:rsid w:val="00901F70"/>
    <w:rsid w:val="00903060"/>
    <w:rsid w:val="00903AE2"/>
    <w:rsid w:val="009054BD"/>
    <w:rsid w:val="00905A47"/>
    <w:rsid w:val="0090678A"/>
    <w:rsid w:val="0090690A"/>
    <w:rsid w:val="00906D07"/>
    <w:rsid w:val="00907677"/>
    <w:rsid w:val="00910AFD"/>
    <w:rsid w:val="0091145C"/>
    <w:rsid w:val="00913266"/>
    <w:rsid w:val="00915873"/>
    <w:rsid w:val="009158A7"/>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2761"/>
    <w:rsid w:val="009334FD"/>
    <w:rsid w:val="009355F8"/>
    <w:rsid w:val="00935ADB"/>
    <w:rsid w:val="00937B6F"/>
    <w:rsid w:val="00940EF0"/>
    <w:rsid w:val="00941018"/>
    <w:rsid w:val="00941459"/>
    <w:rsid w:val="00941600"/>
    <w:rsid w:val="009424BD"/>
    <w:rsid w:val="00943224"/>
    <w:rsid w:val="00943C06"/>
    <w:rsid w:val="0094488A"/>
    <w:rsid w:val="00946165"/>
    <w:rsid w:val="00946715"/>
    <w:rsid w:val="00946EF3"/>
    <w:rsid w:val="00947AA8"/>
    <w:rsid w:val="0095047B"/>
    <w:rsid w:val="00951CD2"/>
    <w:rsid w:val="00951E56"/>
    <w:rsid w:val="00953A72"/>
    <w:rsid w:val="009548BA"/>
    <w:rsid w:val="00954EA1"/>
    <w:rsid w:val="009550D7"/>
    <w:rsid w:val="0095719C"/>
    <w:rsid w:val="009575B2"/>
    <w:rsid w:val="009576DE"/>
    <w:rsid w:val="009579CB"/>
    <w:rsid w:val="0096210B"/>
    <w:rsid w:val="00962217"/>
    <w:rsid w:val="00962545"/>
    <w:rsid w:val="00962883"/>
    <w:rsid w:val="00963883"/>
    <w:rsid w:val="009641BC"/>
    <w:rsid w:val="0096497B"/>
    <w:rsid w:val="00965A04"/>
    <w:rsid w:val="00965D5F"/>
    <w:rsid w:val="0096730A"/>
    <w:rsid w:val="0096735A"/>
    <w:rsid w:val="009675B0"/>
    <w:rsid w:val="00967838"/>
    <w:rsid w:val="00970444"/>
    <w:rsid w:val="009736EA"/>
    <w:rsid w:val="0097441F"/>
    <w:rsid w:val="00974918"/>
    <w:rsid w:val="00975AA6"/>
    <w:rsid w:val="00975FCC"/>
    <w:rsid w:val="00977981"/>
    <w:rsid w:val="00980159"/>
    <w:rsid w:val="00980240"/>
    <w:rsid w:val="009804BF"/>
    <w:rsid w:val="0098120F"/>
    <w:rsid w:val="00981BFE"/>
    <w:rsid w:val="00981E71"/>
    <w:rsid w:val="00981FA1"/>
    <w:rsid w:val="0098282B"/>
    <w:rsid w:val="009841C9"/>
    <w:rsid w:val="00984719"/>
    <w:rsid w:val="009848BA"/>
    <w:rsid w:val="00984C65"/>
    <w:rsid w:val="009858AC"/>
    <w:rsid w:val="009872A2"/>
    <w:rsid w:val="00990918"/>
    <w:rsid w:val="009914D1"/>
    <w:rsid w:val="00991A8E"/>
    <w:rsid w:val="00992553"/>
    <w:rsid w:val="009959F0"/>
    <w:rsid w:val="0099623A"/>
    <w:rsid w:val="00996CBF"/>
    <w:rsid w:val="00996CFD"/>
    <w:rsid w:val="009A05A3"/>
    <w:rsid w:val="009A0ED9"/>
    <w:rsid w:val="009A233D"/>
    <w:rsid w:val="009A2349"/>
    <w:rsid w:val="009A279E"/>
    <w:rsid w:val="009A3538"/>
    <w:rsid w:val="009A35C5"/>
    <w:rsid w:val="009A44F8"/>
    <w:rsid w:val="009A52BD"/>
    <w:rsid w:val="009A6403"/>
    <w:rsid w:val="009A6783"/>
    <w:rsid w:val="009A7110"/>
    <w:rsid w:val="009A788B"/>
    <w:rsid w:val="009A7C1E"/>
    <w:rsid w:val="009B0058"/>
    <w:rsid w:val="009B0601"/>
    <w:rsid w:val="009B0E6F"/>
    <w:rsid w:val="009B12D1"/>
    <w:rsid w:val="009B14CA"/>
    <w:rsid w:val="009B14E7"/>
    <w:rsid w:val="009B1932"/>
    <w:rsid w:val="009B1E46"/>
    <w:rsid w:val="009B1EC4"/>
    <w:rsid w:val="009B2884"/>
    <w:rsid w:val="009B3020"/>
    <w:rsid w:val="009B3141"/>
    <w:rsid w:val="009B3AC2"/>
    <w:rsid w:val="009B3B00"/>
    <w:rsid w:val="009B4064"/>
    <w:rsid w:val="009B4147"/>
    <w:rsid w:val="009B44B6"/>
    <w:rsid w:val="009B52E1"/>
    <w:rsid w:val="009B58EC"/>
    <w:rsid w:val="009B71AF"/>
    <w:rsid w:val="009C0133"/>
    <w:rsid w:val="009C03E9"/>
    <w:rsid w:val="009C0670"/>
    <w:rsid w:val="009C0BE7"/>
    <w:rsid w:val="009C0D74"/>
    <w:rsid w:val="009C191C"/>
    <w:rsid w:val="009C33B0"/>
    <w:rsid w:val="009C3EA3"/>
    <w:rsid w:val="009C45A1"/>
    <w:rsid w:val="009C503E"/>
    <w:rsid w:val="009C539C"/>
    <w:rsid w:val="009C5AD6"/>
    <w:rsid w:val="009C6676"/>
    <w:rsid w:val="009C66AD"/>
    <w:rsid w:val="009C7820"/>
    <w:rsid w:val="009D062C"/>
    <w:rsid w:val="009D0844"/>
    <w:rsid w:val="009D0848"/>
    <w:rsid w:val="009D1309"/>
    <w:rsid w:val="009D17DC"/>
    <w:rsid w:val="009D2EC6"/>
    <w:rsid w:val="009D4C16"/>
    <w:rsid w:val="009D4C49"/>
    <w:rsid w:val="009D57A2"/>
    <w:rsid w:val="009D5F09"/>
    <w:rsid w:val="009D60EE"/>
    <w:rsid w:val="009D653F"/>
    <w:rsid w:val="009D7167"/>
    <w:rsid w:val="009E02A5"/>
    <w:rsid w:val="009E0A77"/>
    <w:rsid w:val="009E0EB2"/>
    <w:rsid w:val="009E1D7F"/>
    <w:rsid w:val="009E4226"/>
    <w:rsid w:val="009E4FD8"/>
    <w:rsid w:val="009E50B2"/>
    <w:rsid w:val="009E6131"/>
    <w:rsid w:val="009E7CA9"/>
    <w:rsid w:val="009F096C"/>
    <w:rsid w:val="009F1196"/>
    <w:rsid w:val="009F1B5E"/>
    <w:rsid w:val="009F2620"/>
    <w:rsid w:val="009F4682"/>
    <w:rsid w:val="009F524C"/>
    <w:rsid w:val="009F6309"/>
    <w:rsid w:val="00A0033B"/>
    <w:rsid w:val="00A00FDE"/>
    <w:rsid w:val="00A02316"/>
    <w:rsid w:val="00A028D1"/>
    <w:rsid w:val="00A03379"/>
    <w:rsid w:val="00A03AAD"/>
    <w:rsid w:val="00A03BF7"/>
    <w:rsid w:val="00A04B4A"/>
    <w:rsid w:val="00A050D6"/>
    <w:rsid w:val="00A055F1"/>
    <w:rsid w:val="00A0565C"/>
    <w:rsid w:val="00A05C0A"/>
    <w:rsid w:val="00A06C20"/>
    <w:rsid w:val="00A077C0"/>
    <w:rsid w:val="00A1042C"/>
    <w:rsid w:val="00A10B94"/>
    <w:rsid w:val="00A12779"/>
    <w:rsid w:val="00A14351"/>
    <w:rsid w:val="00A14B89"/>
    <w:rsid w:val="00A14D3F"/>
    <w:rsid w:val="00A14FED"/>
    <w:rsid w:val="00A151C7"/>
    <w:rsid w:val="00A15DB0"/>
    <w:rsid w:val="00A168F1"/>
    <w:rsid w:val="00A1726A"/>
    <w:rsid w:val="00A17937"/>
    <w:rsid w:val="00A17F7F"/>
    <w:rsid w:val="00A20238"/>
    <w:rsid w:val="00A214EB"/>
    <w:rsid w:val="00A21592"/>
    <w:rsid w:val="00A21DF7"/>
    <w:rsid w:val="00A2247E"/>
    <w:rsid w:val="00A23465"/>
    <w:rsid w:val="00A23F00"/>
    <w:rsid w:val="00A23FEF"/>
    <w:rsid w:val="00A24FBF"/>
    <w:rsid w:val="00A258C3"/>
    <w:rsid w:val="00A258EB"/>
    <w:rsid w:val="00A25ECE"/>
    <w:rsid w:val="00A25F3F"/>
    <w:rsid w:val="00A26B51"/>
    <w:rsid w:val="00A2757F"/>
    <w:rsid w:val="00A27A0D"/>
    <w:rsid w:val="00A31205"/>
    <w:rsid w:val="00A3132C"/>
    <w:rsid w:val="00A323DE"/>
    <w:rsid w:val="00A3268C"/>
    <w:rsid w:val="00A34240"/>
    <w:rsid w:val="00A351BD"/>
    <w:rsid w:val="00A3558A"/>
    <w:rsid w:val="00A3594B"/>
    <w:rsid w:val="00A3603A"/>
    <w:rsid w:val="00A36745"/>
    <w:rsid w:val="00A376A2"/>
    <w:rsid w:val="00A404BA"/>
    <w:rsid w:val="00A405E9"/>
    <w:rsid w:val="00A40AD1"/>
    <w:rsid w:val="00A41171"/>
    <w:rsid w:val="00A41873"/>
    <w:rsid w:val="00A42D1C"/>
    <w:rsid w:val="00A43A71"/>
    <w:rsid w:val="00A44FAB"/>
    <w:rsid w:val="00A45777"/>
    <w:rsid w:val="00A463CF"/>
    <w:rsid w:val="00A46A23"/>
    <w:rsid w:val="00A46B32"/>
    <w:rsid w:val="00A46C2B"/>
    <w:rsid w:val="00A46C2F"/>
    <w:rsid w:val="00A46CE1"/>
    <w:rsid w:val="00A46EDE"/>
    <w:rsid w:val="00A470D5"/>
    <w:rsid w:val="00A4793F"/>
    <w:rsid w:val="00A502E2"/>
    <w:rsid w:val="00A50763"/>
    <w:rsid w:val="00A5379B"/>
    <w:rsid w:val="00A54E30"/>
    <w:rsid w:val="00A55A20"/>
    <w:rsid w:val="00A55AB8"/>
    <w:rsid w:val="00A566D5"/>
    <w:rsid w:val="00A56D35"/>
    <w:rsid w:val="00A56EA6"/>
    <w:rsid w:val="00A576ED"/>
    <w:rsid w:val="00A602D8"/>
    <w:rsid w:val="00A618E4"/>
    <w:rsid w:val="00A62774"/>
    <w:rsid w:val="00A62DDE"/>
    <w:rsid w:val="00A632A6"/>
    <w:rsid w:val="00A63A6E"/>
    <w:rsid w:val="00A64216"/>
    <w:rsid w:val="00A64AF2"/>
    <w:rsid w:val="00A64DDF"/>
    <w:rsid w:val="00A67B3C"/>
    <w:rsid w:val="00A67CF3"/>
    <w:rsid w:val="00A71AB6"/>
    <w:rsid w:val="00A72506"/>
    <w:rsid w:val="00A7271E"/>
    <w:rsid w:val="00A73D96"/>
    <w:rsid w:val="00A740B9"/>
    <w:rsid w:val="00A74640"/>
    <w:rsid w:val="00A746D0"/>
    <w:rsid w:val="00A74CFD"/>
    <w:rsid w:val="00A76672"/>
    <w:rsid w:val="00A76FCB"/>
    <w:rsid w:val="00A774C7"/>
    <w:rsid w:val="00A7779E"/>
    <w:rsid w:val="00A80190"/>
    <w:rsid w:val="00A8034A"/>
    <w:rsid w:val="00A80370"/>
    <w:rsid w:val="00A806EA"/>
    <w:rsid w:val="00A81072"/>
    <w:rsid w:val="00A818D2"/>
    <w:rsid w:val="00A81E4F"/>
    <w:rsid w:val="00A82B03"/>
    <w:rsid w:val="00A82D54"/>
    <w:rsid w:val="00A8308F"/>
    <w:rsid w:val="00A832B1"/>
    <w:rsid w:val="00A832D6"/>
    <w:rsid w:val="00A834B7"/>
    <w:rsid w:val="00A8376E"/>
    <w:rsid w:val="00A83F70"/>
    <w:rsid w:val="00A8475F"/>
    <w:rsid w:val="00A85DE3"/>
    <w:rsid w:val="00A85F15"/>
    <w:rsid w:val="00A86A72"/>
    <w:rsid w:val="00A86DE7"/>
    <w:rsid w:val="00A87294"/>
    <w:rsid w:val="00A87D76"/>
    <w:rsid w:val="00A87E33"/>
    <w:rsid w:val="00A9042F"/>
    <w:rsid w:val="00A912A6"/>
    <w:rsid w:val="00A91765"/>
    <w:rsid w:val="00A91A26"/>
    <w:rsid w:val="00A92008"/>
    <w:rsid w:val="00A92D8B"/>
    <w:rsid w:val="00A9339F"/>
    <w:rsid w:val="00A934BE"/>
    <w:rsid w:val="00A9540E"/>
    <w:rsid w:val="00A96927"/>
    <w:rsid w:val="00AA06DF"/>
    <w:rsid w:val="00AA128A"/>
    <w:rsid w:val="00AA1CCA"/>
    <w:rsid w:val="00AA1E85"/>
    <w:rsid w:val="00AA22BC"/>
    <w:rsid w:val="00AA2CD3"/>
    <w:rsid w:val="00AA37C0"/>
    <w:rsid w:val="00AA4950"/>
    <w:rsid w:val="00AA50A5"/>
    <w:rsid w:val="00AA5120"/>
    <w:rsid w:val="00AA592B"/>
    <w:rsid w:val="00AA5F61"/>
    <w:rsid w:val="00AA6493"/>
    <w:rsid w:val="00AA6C57"/>
    <w:rsid w:val="00AA704F"/>
    <w:rsid w:val="00AA71E5"/>
    <w:rsid w:val="00AA72BA"/>
    <w:rsid w:val="00AB0651"/>
    <w:rsid w:val="00AB4B0E"/>
    <w:rsid w:val="00AB55C3"/>
    <w:rsid w:val="00AB56CD"/>
    <w:rsid w:val="00AB5DBF"/>
    <w:rsid w:val="00AB77C4"/>
    <w:rsid w:val="00AC0533"/>
    <w:rsid w:val="00AC0818"/>
    <w:rsid w:val="00AC2083"/>
    <w:rsid w:val="00AC2538"/>
    <w:rsid w:val="00AC261A"/>
    <w:rsid w:val="00AC32CA"/>
    <w:rsid w:val="00AC37B7"/>
    <w:rsid w:val="00AC39A3"/>
    <w:rsid w:val="00AC6115"/>
    <w:rsid w:val="00AC614D"/>
    <w:rsid w:val="00AC6C86"/>
    <w:rsid w:val="00AC7226"/>
    <w:rsid w:val="00AC73B4"/>
    <w:rsid w:val="00AC789F"/>
    <w:rsid w:val="00AD013E"/>
    <w:rsid w:val="00AD0DE4"/>
    <w:rsid w:val="00AD15B0"/>
    <w:rsid w:val="00AD226D"/>
    <w:rsid w:val="00AD2C59"/>
    <w:rsid w:val="00AD2F96"/>
    <w:rsid w:val="00AD3B94"/>
    <w:rsid w:val="00AD3EF7"/>
    <w:rsid w:val="00AD4C74"/>
    <w:rsid w:val="00AD5F0A"/>
    <w:rsid w:val="00AD5F29"/>
    <w:rsid w:val="00AD669B"/>
    <w:rsid w:val="00AE0E57"/>
    <w:rsid w:val="00AE1856"/>
    <w:rsid w:val="00AE2C7A"/>
    <w:rsid w:val="00AE2CF2"/>
    <w:rsid w:val="00AE3F55"/>
    <w:rsid w:val="00AE4A45"/>
    <w:rsid w:val="00AE5403"/>
    <w:rsid w:val="00AE64E5"/>
    <w:rsid w:val="00AE6A2B"/>
    <w:rsid w:val="00AE71E0"/>
    <w:rsid w:val="00AF0660"/>
    <w:rsid w:val="00AF09BA"/>
    <w:rsid w:val="00AF1703"/>
    <w:rsid w:val="00AF19EE"/>
    <w:rsid w:val="00AF1A93"/>
    <w:rsid w:val="00AF241D"/>
    <w:rsid w:val="00AF297E"/>
    <w:rsid w:val="00AF2BEE"/>
    <w:rsid w:val="00AF3271"/>
    <w:rsid w:val="00AF3373"/>
    <w:rsid w:val="00AF3D23"/>
    <w:rsid w:val="00AF43D9"/>
    <w:rsid w:val="00AF4647"/>
    <w:rsid w:val="00AF49BE"/>
    <w:rsid w:val="00AF4A33"/>
    <w:rsid w:val="00AF4C87"/>
    <w:rsid w:val="00AF5529"/>
    <w:rsid w:val="00AF608C"/>
    <w:rsid w:val="00AF6A12"/>
    <w:rsid w:val="00AF6DF4"/>
    <w:rsid w:val="00AF79B4"/>
    <w:rsid w:val="00AF7F3A"/>
    <w:rsid w:val="00B006D4"/>
    <w:rsid w:val="00B015DC"/>
    <w:rsid w:val="00B01C6D"/>
    <w:rsid w:val="00B03D44"/>
    <w:rsid w:val="00B040E5"/>
    <w:rsid w:val="00B04676"/>
    <w:rsid w:val="00B05075"/>
    <w:rsid w:val="00B05F5C"/>
    <w:rsid w:val="00B05F99"/>
    <w:rsid w:val="00B06179"/>
    <w:rsid w:val="00B06580"/>
    <w:rsid w:val="00B07916"/>
    <w:rsid w:val="00B07DDD"/>
    <w:rsid w:val="00B108DB"/>
    <w:rsid w:val="00B114EA"/>
    <w:rsid w:val="00B11617"/>
    <w:rsid w:val="00B1225A"/>
    <w:rsid w:val="00B131C0"/>
    <w:rsid w:val="00B13A33"/>
    <w:rsid w:val="00B15BD6"/>
    <w:rsid w:val="00B16913"/>
    <w:rsid w:val="00B207DF"/>
    <w:rsid w:val="00B216F9"/>
    <w:rsid w:val="00B219F6"/>
    <w:rsid w:val="00B21A19"/>
    <w:rsid w:val="00B23088"/>
    <w:rsid w:val="00B23774"/>
    <w:rsid w:val="00B26C50"/>
    <w:rsid w:val="00B26F7D"/>
    <w:rsid w:val="00B275B2"/>
    <w:rsid w:val="00B30990"/>
    <w:rsid w:val="00B30FCC"/>
    <w:rsid w:val="00B31143"/>
    <w:rsid w:val="00B32829"/>
    <w:rsid w:val="00B33D0A"/>
    <w:rsid w:val="00B3466E"/>
    <w:rsid w:val="00B351B7"/>
    <w:rsid w:val="00B371CF"/>
    <w:rsid w:val="00B378A1"/>
    <w:rsid w:val="00B40713"/>
    <w:rsid w:val="00B41D86"/>
    <w:rsid w:val="00B4276B"/>
    <w:rsid w:val="00B4279C"/>
    <w:rsid w:val="00B43BC9"/>
    <w:rsid w:val="00B442E2"/>
    <w:rsid w:val="00B4460E"/>
    <w:rsid w:val="00B44668"/>
    <w:rsid w:val="00B4593E"/>
    <w:rsid w:val="00B45E0D"/>
    <w:rsid w:val="00B46443"/>
    <w:rsid w:val="00B46DA5"/>
    <w:rsid w:val="00B470E3"/>
    <w:rsid w:val="00B50216"/>
    <w:rsid w:val="00B50C80"/>
    <w:rsid w:val="00B5375A"/>
    <w:rsid w:val="00B56884"/>
    <w:rsid w:val="00B56B87"/>
    <w:rsid w:val="00B5743B"/>
    <w:rsid w:val="00B5776C"/>
    <w:rsid w:val="00B57BD6"/>
    <w:rsid w:val="00B57FCC"/>
    <w:rsid w:val="00B60263"/>
    <w:rsid w:val="00B603BA"/>
    <w:rsid w:val="00B605C0"/>
    <w:rsid w:val="00B62190"/>
    <w:rsid w:val="00B62374"/>
    <w:rsid w:val="00B63704"/>
    <w:rsid w:val="00B63AD3"/>
    <w:rsid w:val="00B63C5B"/>
    <w:rsid w:val="00B63F77"/>
    <w:rsid w:val="00B63F7A"/>
    <w:rsid w:val="00B65192"/>
    <w:rsid w:val="00B6540F"/>
    <w:rsid w:val="00B65549"/>
    <w:rsid w:val="00B65632"/>
    <w:rsid w:val="00B6667D"/>
    <w:rsid w:val="00B67A9D"/>
    <w:rsid w:val="00B7006D"/>
    <w:rsid w:val="00B70F58"/>
    <w:rsid w:val="00B71CC1"/>
    <w:rsid w:val="00B71E9B"/>
    <w:rsid w:val="00B72072"/>
    <w:rsid w:val="00B729E5"/>
    <w:rsid w:val="00B72ADE"/>
    <w:rsid w:val="00B73F81"/>
    <w:rsid w:val="00B7416E"/>
    <w:rsid w:val="00B745D4"/>
    <w:rsid w:val="00B7617B"/>
    <w:rsid w:val="00B761B8"/>
    <w:rsid w:val="00B76B62"/>
    <w:rsid w:val="00B77E23"/>
    <w:rsid w:val="00B77F3D"/>
    <w:rsid w:val="00B81408"/>
    <w:rsid w:val="00B81725"/>
    <w:rsid w:val="00B81994"/>
    <w:rsid w:val="00B81F00"/>
    <w:rsid w:val="00B82196"/>
    <w:rsid w:val="00B821A6"/>
    <w:rsid w:val="00B822DD"/>
    <w:rsid w:val="00B82543"/>
    <w:rsid w:val="00B82FDE"/>
    <w:rsid w:val="00B84436"/>
    <w:rsid w:val="00B84E36"/>
    <w:rsid w:val="00B862C7"/>
    <w:rsid w:val="00B87873"/>
    <w:rsid w:val="00B87D70"/>
    <w:rsid w:val="00B90A40"/>
    <w:rsid w:val="00B92491"/>
    <w:rsid w:val="00B92903"/>
    <w:rsid w:val="00B936BF"/>
    <w:rsid w:val="00B95251"/>
    <w:rsid w:val="00B95309"/>
    <w:rsid w:val="00B95C08"/>
    <w:rsid w:val="00B95E5F"/>
    <w:rsid w:val="00B96AAD"/>
    <w:rsid w:val="00B97045"/>
    <w:rsid w:val="00B97541"/>
    <w:rsid w:val="00B97A6D"/>
    <w:rsid w:val="00BA0776"/>
    <w:rsid w:val="00BA0823"/>
    <w:rsid w:val="00BA0D51"/>
    <w:rsid w:val="00BA0F80"/>
    <w:rsid w:val="00BA14BC"/>
    <w:rsid w:val="00BA1939"/>
    <w:rsid w:val="00BA1B09"/>
    <w:rsid w:val="00BA1C56"/>
    <w:rsid w:val="00BA2F99"/>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2029"/>
    <w:rsid w:val="00BB2341"/>
    <w:rsid w:val="00BB2D89"/>
    <w:rsid w:val="00BB3717"/>
    <w:rsid w:val="00BB3A89"/>
    <w:rsid w:val="00BB3B30"/>
    <w:rsid w:val="00BB4D80"/>
    <w:rsid w:val="00BB56BE"/>
    <w:rsid w:val="00BB7E49"/>
    <w:rsid w:val="00BC04AC"/>
    <w:rsid w:val="00BC0986"/>
    <w:rsid w:val="00BC0F18"/>
    <w:rsid w:val="00BC1277"/>
    <w:rsid w:val="00BC1591"/>
    <w:rsid w:val="00BC1D15"/>
    <w:rsid w:val="00BC1D92"/>
    <w:rsid w:val="00BC2090"/>
    <w:rsid w:val="00BC2A07"/>
    <w:rsid w:val="00BC2B49"/>
    <w:rsid w:val="00BC2CA8"/>
    <w:rsid w:val="00BC2D00"/>
    <w:rsid w:val="00BC3499"/>
    <w:rsid w:val="00BC4B6E"/>
    <w:rsid w:val="00BC4C5C"/>
    <w:rsid w:val="00BC54D0"/>
    <w:rsid w:val="00BC6392"/>
    <w:rsid w:val="00BC67FF"/>
    <w:rsid w:val="00BC7C1C"/>
    <w:rsid w:val="00BD0054"/>
    <w:rsid w:val="00BD08E4"/>
    <w:rsid w:val="00BD1C8F"/>
    <w:rsid w:val="00BD2038"/>
    <w:rsid w:val="00BD3D24"/>
    <w:rsid w:val="00BD4A6C"/>
    <w:rsid w:val="00BD53CD"/>
    <w:rsid w:val="00BD6004"/>
    <w:rsid w:val="00BD6278"/>
    <w:rsid w:val="00BD6E02"/>
    <w:rsid w:val="00BD6FD8"/>
    <w:rsid w:val="00BD7496"/>
    <w:rsid w:val="00BD78C3"/>
    <w:rsid w:val="00BD7E3D"/>
    <w:rsid w:val="00BD7F9D"/>
    <w:rsid w:val="00BE0309"/>
    <w:rsid w:val="00BE032A"/>
    <w:rsid w:val="00BE1214"/>
    <w:rsid w:val="00BE1372"/>
    <w:rsid w:val="00BE182E"/>
    <w:rsid w:val="00BE275F"/>
    <w:rsid w:val="00BE292F"/>
    <w:rsid w:val="00BE2BB3"/>
    <w:rsid w:val="00BE2C64"/>
    <w:rsid w:val="00BE38F0"/>
    <w:rsid w:val="00BE4DA4"/>
    <w:rsid w:val="00BE4E3E"/>
    <w:rsid w:val="00BE5022"/>
    <w:rsid w:val="00BE5589"/>
    <w:rsid w:val="00BE5C0D"/>
    <w:rsid w:val="00BE6FDD"/>
    <w:rsid w:val="00BE72CD"/>
    <w:rsid w:val="00BE7FB5"/>
    <w:rsid w:val="00BF059C"/>
    <w:rsid w:val="00BF06E8"/>
    <w:rsid w:val="00BF1D79"/>
    <w:rsid w:val="00BF2A0F"/>
    <w:rsid w:val="00BF4426"/>
    <w:rsid w:val="00BF4DEE"/>
    <w:rsid w:val="00BF521A"/>
    <w:rsid w:val="00BF5DB9"/>
    <w:rsid w:val="00C00AFB"/>
    <w:rsid w:val="00C00B7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C2B"/>
    <w:rsid w:val="00C17115"/>
    <w:rsid w:val="00C203CD"/>
    <w:rsid w:val="00C20480"/>
    <w:rsid w:val="00C21F3B"/>
    <w:rsid w:val="00C225AA"/>
    <w:rsid w:val="00C24783"/>
    <w:rsid w:val="00C25D96"/>
    <w:rsid w:val="00C25E2B"/>
    <w:rsid w:val="00C25F1A"/>
    <w:rsid w:val="00C2600F"/>
    <w:rsid w:val="00C26EEB"/>
    <w:rsid w:val="00C2776B"/>
    <w:rsid w:val="00C27BD4"/>
    <w:rsid w:val="00C31210"/>
    <w:rsid w:val="00C319EF"/>
    <w:rsid w:val="00C32333"/>
    <w:rsid w:val="00C329AF"/>
    <w:rsid w:val="00C3346B"/>
    <w:rsid w:val="00C3524F"/>
    <w:rsid w:val="00C35A4B"/>
    <w:rsid w:val="00C35DBE"/>
    <w:rsid w:val="00C3605B"/>
    <w:rsid w:val="00C369CA"/>
    <w:rsid w:val="00C4001D"/>
    <w:rsid w:val="00C401EF"/>
    <w:rsid w:val="00C40371"/>
    <w:rsid w:val="00C412CD"/>
    <w:rsid w:val="00C446A0"/>
    <w:rsid w:val="00C45225"/>
    <w:rsid w:val="00C457D1"/>
    <w:rsid w:val="00C466D8"/>
    <w:rsid w:val="00C507A9"/>
    <w:rsid w:val="00C50BAF"/>
    <w:rsid w:val="00C50E13"/>
    <w:rsid w:val="00C50E8B"/>
    <w:rsid w:val="00C51AA0"/>
    <w:rsid w:val="00C52564"/>
    <w:rsid w:val="00C525B0"/>
    <w:rsid w:val="00C52FEB"/>
    <w:rsid w:val="00C53978"/>
    <w:rsid w:val="00C53E16"/>
    <w:rsid w:val="00C54834"/>
    <w:rsid w:val="00C54A3B"/>
    <w:rsid w:val="00C54B85"/>
    <w:rsid w:val="00C54DDC"/>
    <w:rsid w:val="00C550F0"/>
    <w:rsid w:val="00C55146"/>
    <w:rsid w:val="00C55E69"/>
    <w:rsid w:val="00C56AD9"/>
    <w:rsid w:val="00C56CE9"/>
    <w:rsid w:val="00C56E04"/>
    <w:rsid w:val="00C56E5D"/>
    <w:rsid w:val="00C574E4"/>
    <w:rsid w:val="00C575AF"/>
    <w:rsid w:val="00C57B6C"/>
    <w:rsid w:val="00C60D1E"/>
    <w:rsid w:val="00C6100E"/>
    <w:rsid w:val="00C6168B"/>
    <w:rsid w:val="00C621B3"/>
    <w:rsid w:val="00C6492C"/>
    <w:rsid w:val="00C64F65"/>
    <w:rsid w:val="00C65F61"/>
    <w:rsid w:val="00C66427"/>
    <w:rsid w:val="00C66541"/>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919"/>
    <w:rsid w:val="00C82C41"/>
    <w:rsid w:val="00C83B90"/>
    <w:rsid w:val="00C83D59"/>
    <w:rsid w:val="00C84072"/>
    <w:rsid w:val="00C840B0"/>
    <w:rsid w:val="00C867FB"/>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6BF5"/>
    <w:rsid w:val="00CA7104"/>
    <w:rsid w:val="00CA7524"/>
    <w:rsid w:val="00CA7844"/>
    <w:rsid w:val="00CA7DAD"/>
    <w:rsid w:val="00CB030F"/>
    <w:rsid w:val="00CB08AC"/>
    <w:rsid w:val="00CB09BF"/>
    <w:rsid w:val="00CB0A43"/>
    <w:rsid w:val="00CB0D24"/>
    <w:rsid w:val="00CB2958"/>
    <w:rsid w:val="00CB4809"/>
    <w:rsid w:val="00CB63DC"/>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5EB"/>
    <w:rsid w:val="00CC261D"/>
    <w:rsid w:val="00CC28F9"/>
    <w:rsid w:val="00CC2EFB"/>
    <w:rsid w:val="00CC353C"/>
    <w:rsid w:val="00CC364F"/>
    <w:rsid w:val="00CC3E82"/>
    <w:rsid w:val="00CC5638"/>
    <w:rsid w:val="00CC5CFD"/>
    <w:rsid w:val="00CC6DC2"/>
    <w:rsid w:val="00CC7674"/>
    <w:rsid w:val="00CC7789"/>
    <w:rsid w:val="00CD11C2"/>
    <w:rsid w:val="00CD1332"/>
    <w:rsid w:val="00CD2D55"/>
    <w:rsid w:val="00CD30DC"/>
    <w:rsid w:val="00CD4ED2"/>
    <w:rsid w:val="00CD5D14"/>
    <w:rsid w:val="00CD6879"/>
    <w:rsid w:val="00CD7626"/>
    <w:rsid w:val="00CE050E"/>
    <w:rsid w:val="00CE124D"/>
    <w:rsid w:val="00CE1335"/>
    <w:rsid w:val="00CE1609"/>
    <w:rsid w:val="00CE18A6"/>
    <w:rsid w:val="00CE2636"/>
    <w:rsid w:val="00CE263B"/>
    <w:rsid w:val="00CE3916"/>
    <w:rsid w:val="00CE3E05"/>
    <w:rsid w:val="00CE4814"/>
    <w:rsid w:val="00CE61B9"/>
    <w:rsid w:val="00CE6A17"/>
    <w:rsid w:val="00CE77FC"/>
    <w:rsid w:val="00CE7D99"/>
    <w:rsid w:val="00CF0768"/>
    <w:rsid w:val="00CF1AD6"/>
    <w:rsid w:val="00CF22A0"/>
    <w:rsid w:val="00CF25AA"/>
    <w:rsid w:val="00CF26BB"/>
    <w:rsid w:val="00CF2B16"/>
    <w:rsid w:val="00CF45DC"/>
    <w:rsid w:val="00CF46EC"/>
    <w:rsid w:val="00CF4BB2"/>
    <w:rsid w:val="00CF521B"/>
    <w:rsid w:val="00CF5315"/>
    <w:rsid w:val="00CF5471"/>
    <w:rsid w:val="00CF5F28"/>
    <w:rsid w:val="00CF71A8"/>
    <w:rsid w:val="00D01910"/>
    <w:rsid w:val="00D01FEF"/>
    <w:rsid w:val="00D03290"/>
    <w:rsid w:val="00D03A0B"/>
    <w:rsid w:val="00D0411D"/>
    <w:rsid w:val="00D04489"/>
    <w:rsid w:val="00D06134"/>
    <w:rsid w:val="00D065A7"/>
    <w:rsid w:val="00D078DC"/>
    <w:rsid w:val="00D1078E"/>
    <w:rsid w:val="00D10ACB"/>
    <w:rsid w:val="00D1228F"/>
    <w:rsid w:val="00D12693"/>
    <w:rsid w:val="00D12767"/>
    <w:rsid w:val="00D13261"/>
    <w:rsid w:val="00D13EFD"/>
    <w:rsid w:val="00D1410D"/>
    <w:rsid w:val="00D15024"/>
    <w:rsid w:val="00D15275"/>
    <w:rsid w:val="00D15BE2"/>
    <w:rsid w:val="00D166AA"/>
    <w:rsid w:val="00D1737E"/>
    <w:rsid w:val="00D17932"/>
    <w:rsid w:val="00D17A8C"/>
    <w:rsid w:val="00D2209C"/>
    <w:rsid w:val="00D22726"/>
    <w:rsid w:val="00D22952"/>
    <w:rsid w:val="00D24001"/>
    <w:rsid w:val="00D24465"/>
    <w:rsid w:val="00D24C30"/>
    <w:rsid w:val="00D25145"/>
    <w:rsid w:val="00D25ECA"/>
    <w:rsid w:val="00D262DA"/>
    <w:rsid w:val="00D26D8F"/>
    <w:rsid w:val="00D2758D"/>
    <w:rsid w:val="00D30734"/>
    <w:rsid w:val="00D30B07"/>
    <w:rsid w:val="00D31174"/>
    <w:rsid w:val="00D31A57"/>
    <w:rsid w:val="00D32EC8"/>
    <w:rsid w:val="00D3312E"/>
    <w:rsid w:val="00D33834"/>
    <w:rsid w:val="00D33959"/>
    <w:rsid w:val="00D33962"/>
    <w:rsid w:val="00D34699"/>
    <w:rsid w:val="00D34CFC"/>
    <w:rsid w:val="00D351D1"/>
    <w:rsid w:val="00D3532A"/>
    <w:rsid w:val="00D35BDE"/>
    <w:rsid w:val="00D35C53"/>
    <w:rsid w:val="00D366A8"/>
    <w:rsid w:val="00D41375"/>
    <w:rsid w:val="00D419B7"/>
    <w:rsid w:val="00D41C8F"/>
    <w:rsid w:val="00D41FF0"/>
    <w:rsid w:val="00D435C2"/>
    <w:rsid w:val="00D437F2"/>
    <w:rsid w:val="00D43A4A"/>
    <w:rsid w:val="00D44089"/>
    <w:rsid w:val="00D4538B"/>
    <w:rsid w:val="00D4610F"/>
    <w:rsid w:val="00D47155"/>
    <w:rsid w:val="00D47BBD"/>
    <w:rsid w:val="00D47DBC"/>
    <w:rsid w:val="00D504E4"/>
    <w:rsid w:val="00D50940"/>
    <w:rsid w:val="00D50983"/>
    <w:rsid w:val="00D50D3E"/>
    <w:rsid w:val="00D51175"/>
    <w:rsid w:val="00D511C1"/>
    <w:rsid w:val="00D5185F"/>
    <w:rsid w:val="00D51B3D"/>
    <w:rsid w:val="00D52053"/>
    <w:rsid w:val="00D530BA"/>
    <w:rsid w:val="00D53AB5"/>
    <w:rsid w:val="00D53C02"/>
    <w:rsid w:val="00D543A9"/>
    <w:rsid w:val="00D55025"/>
    <w:rsid w:val="00D556E8"/>
    <w:rsid w:val="00D560D5"/>
    <w:rsid w:val="00D560F8"/>
    <w:rsid w:val="00D567BB"/>
    <w:rsid w:val="00D57AB0"/>
    <w:rsid w:val="00D57FDC"/>
    <w:rsid w:val="00D57FE0"/>
    <w:rsid w:val="00D60295"/>
    <w:rsid w:val="00D6029A"/>
    <w:rsid w:val="00D603BD"/>
    <w:rsid w:val="00D60AB3"/>
    <w:rsid w:val="00D60BBA"/>
    <w:rsid w:val="00D60CCC"/>
    <w:rsid w:val="00D6174F"/>
    <w:rsid w:val="00D61C7D"/>
    <w:rsid w:val="00D620EF"/>
    <w:rsid w:val="00D6406B"/>
    <w:rsid w:val="00D6483C"/>
    <w:rsid w:val="00D649C3"/>
    <w:rsid w:val="00D64A87"/>
    <w:rsid w:val="00D65ADE"/>
    <w:rsid w:val="00D6603A"/>
    <w:rsid w:val="00D67242"/>
    <w:rsid w:val="00D7072C"/>
    <w:rsid w:val="00D7120D"/>
    <w:rsid w:val="00D72823"/>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5198"/>
    <w:rsid w:val="00D85B53"/>
    <w:rsid w:val="00D85CEB"/>
    <w:rsid w:val="00D86EF4"/>
    <w:rsid w:val="00D87FDE"/>
    <w:rsid w:val="00D90186"/>
    <w:rsid w:val="00D913F6"/>
    <w:rsid w:val="00D914AA"/>
    <w:rsid w:val="00D9161D"/>
    <w:rsid w:val="00D920CF"/>
    <w:rsid w:val="00D92258"/>
    <w:rsid w:val="00D925D1"/>
    <w:rsid w:val="00D93D2A"/>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FA8"/>
    <w:rsid w:val="00DB3F07"/>
    <w:rsid w:val="00DB5119"/>
    <w:rsid w:val="00DB51FE"/>
    <w:rsid w:val="00DB56EC"/>
    <w:rsid w:val="00DB605B"/>
    <w:rsid w:val="00DB6913"/>
    <w:rsid w:val="00DB694E"/>
    <w:rsid w:val="00DC0473"/>
    <w:rsid w:val="00DC0D92"/>
    <w:rsid w:val="00DC16C4"/>
    <w:rsid w:val="00DC1840"/>
    <w:rsid w:val="00DC1D0E"/>
    <w:rsid w:val="00DC1D5A"/>
    <w:rsid w:val="00DC2F28"/>
    <w:rsid w:val="00DC3EAD"/>
    <w:rsid w:val="00DC429F"/>
    <w:rsid w:val="00DC44BB"/>
    <w:rsid w:val="00DC5E87"/>
    <w:rsid w:val="00DC630F"/>
    <w:rsid w:val="00DC6B7B"/>
    <w:rsid w:val="00DC6BF8"/>
    <w:rsid w:val="00DC7538"/>
    <w:rsid w:val="00DD0231"/>
    <w:rsid w:val="00DD0850"/>
    <w:rsid w:val="00DD0988"/>
    <w:rsid w:val="00DD10E8"/>
    <w:rsid w:val="00DD2175"/>
    <w:rsid w:val="00DD312E"/>
    <w:rsid w:val="00DD387B"/>
    <w:rsid w:val="00DD3A08"/>
    <w:rsid w:val="00DD43D0"/>
    <w:rsid w:val="00DD468F"/>
    <w:rsid w:val="00DD46A2"/>
    <w:rsid w:val="00DD4723"/>
    <w:rsid w:val="00DD615E"/>
    <w:rsid w:val="00DD630D"/>
    <w:rsid w:val="00DD6E4B"/>
    <w:rsid w:val="00DD7254"/>
    <w:rsid w:val="00DD7F58"/>
    <w:rsid w:val="00DE0048"/>
    <w:rsid w:val="00DE0C0C"/>
    <w:rsid w:val="00DE26EE"/>
    <w:rsid w:val="00DE49DF"/>
    <w:rsid w:val="00DE4D07"/>
    <w:rsid w:val="00DE4FBF"/>
    <w:rsid w:val="00DE518B"/>
    <w:rsid w:val="00DE5865"/>
    <w:rsid w:val="00DE605C"/>
    <w:rsid w:val="00DE7296"/>
    <w:rsid w:val="00DE7A27"/>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5F5F"/>
    <w:rsid w:val="00E0639D"/>
    <w:rsid w:val="00E0750D"/>
    <w:rsid w:val="00E07B71"/>
    <w:rsid w:val="00E07D3F"/>
    <w:rsid w:val="00E107DF"/>
    <w:rsid w:val="00E10DA4"/>
    <w:rsid w:val="00E11E7E"/>
    <w:rsid w:val="00E12016"/>
    <w:rsid w:val="00E12502"/>
    <w:rsid w:val="00E13019"/>
    <w:rsid w:val="00E1436D"/>
    <w:rsid w:val="00E14594"/>
    <w:rsid w:val="00E14598"/>
    <w:rsid w:val="00E14717"/>
    <w:rsid w:val="00E14952"/>
    <w:rsid w:val="00E149AF"/>
    <w:rsid w:val="00E14D1D"/>
    <w:rsid w:val="00E14E21"/>
    <w:rsid w:val="00E154BF"/>
    <w:rsid w:val="00E1595D"/>
    <w:rsid w:val="00E15E3A"/>
    <w:rsid w:val="00E16DB3"/>
    <w:rsid w:val="00E20639"/>
    <w:rsid w:val="00E207E1"/>
    <w:rsid w:val="00E20A1F"/>
    <w:rsid w:val="00E20D51"/>
    <w:rsid w:val="00E2124F"/>
    <w:rsid w:val="00E218EE"/>
    <w:rsid w:val="00E21CF1"/>
    <w:rsid w:val="00E21D51"/>
    <w:rsid w:val="00E2443D"/>
    <w:rsid w:val="00E24D5C"/>
    <w:rsid w:val="00E260BB"/>
    <w:rsid w:val="00E26EDD"/>
    <w:rsid w:val="00E2739D"/>
    <w:rsid w:val="00E2756F"/>
    <w:rsid w:val="00E30DA9"/>
    <w:rsid w:val="00E311CB"/>
    <w:rsid w:val="00E313A3"/>
    <w:rsid w:val="00E31A57"/>
    <w:rsid w:val="00E31DCB"/>
    <w:rsid w:val="00E32EC4"/>
    <w:rsid w:val="00E33104"/>
    <w:rsid w:val="00E33748"/>
    <w:rsid w:val="00E33D62"/>
    <w:rsid w:val="00E33DFB"/>
    <w:rsid w:val="00E348A0"/>
    <w:rsid w:val="00E34BB5"/>
    <w:rsid w:val="00E35072"/>
    <w:rsid w:val="00E35AE3"/>
    <w:rsid w:val="00E3625D"/>
    <w:rsid w:val="00E3681E"/>
    <w:rsid w:val="00E37864"/>
    <w:rsid w:val="00E37A59"/>
    <w:rsid w:val="00E40348"/>
    <w:rsid w:val="00E4064B"/>
    <w:rsid w:val="00E409E4"/>
    <w:rsid w:val="00E415F2"/>
    <w:rsid w:val="00E41FB4"/>
    <w:rsid w:val="00E4205C"/>
    <w:rsid w:val="00E44AE0"/>
    <w:rsid w:val="00E462EC"/>
    <w:rsid w:val="00E46410"/>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DC6"/>
    <w:rsid w:val="00E61E3D"/>
    <w:rsid w:val="00E620FA"/>
    <w:rsid w:val="00E62182"/>
    <w:rsid w:val="00E624DF"/>
    <w:rsid w:val="00E632D4"/>
    <w:rsid w:val="00E64582"/>
    <w:rsid w:val="00E64A40"/>
    <w:rsid w:val="00E6579D"/>
    <w:rsid w:val="00E65C07"/>
    <w:rsid w:val="00E664B7"/>
    <w:rsid w:val="00E67C13"/>
    <w:rsid w:val="00E70A9F"/>
    <w:rsid w:val="00E7105F"/>
    <w:rsid w:val="00E7115D"/>
    <w:rsid w:val="00E713C3"/>
    <w:rsid w:val="00E71438"/>
    <w:rsid w:val="00E7268D"/>
    <w:rsid w:val="00E72A13"/>
    <w:rsid w:val="00E72BC2"/>
    <w:rsid w:val="00E72D47"/>
    <w:rsid w:val="00E738AA"/>
    <w:rsid w:val="00E739BE"/>
    <w:rsid w:val="00E7470F"/>
    <w:rsid w:val="00E7483B"/>
    <w:rsid w:val="00E74AEE"/>
    <w:rsid w:val="00E75C9D"/>
    <w:rsid w:val="00E76092"/>
    <w:rsid w:val="00E76441"/>
    <w:rsid w:val="00E76EBB"/>
    <w:rsid w:val="00E77141"/>
    <w:rsid w:val="00E80508"/>
    <w:rsid w:val="00E80911"/>
    <w:rsid w:val="00E81253"/>
    <w:rsid w:val="00E822B1"/>
    <w:rsid w:val="00E826D5"/>
    <w:rsid w:val="00E8273B"/>
    <w:rsid w:val="00E8394A"/>
    <w:rsid w:val="00E849EA"/>
    <w:rsid w:val="00E85DA7"/>
    <w:rsid w:val="00E85E4A"/>
    <w:rsid w:val="00E868D2"/>
    <w:rsid w:val="00E878B4"/>
    <w:rsid w:val="00E87B47"/>
    <w:rsid w:val="00E90C8B"/>
    <w:rsid w:val="00E90D82"/>
    <w:rsid w:val="00E911AB"/>
    <w:rsid w:val="00E9175E"/>
    <w:rsid w:val="00E92528"/>
    <w:rsid w:val="00E92B93"/>
    <w:rsid w:val="00E93361"/>
    <w:rsid w:val="00E93836"/>
    <w:rsid w:val="00E93893"/>
    <w:rsid w:val="00E93CEF"/>
    <w:rsid w:val="00E93E97"/>
    <w:rsid w:val="00E93EDA"/>
    <w:rsid w:val="00E94886"/>
    <w:rsid w:val="00E94F43"/>
    <w:rsid w:val="00E96091"/>
    <w:rsid w:val="00E96139"/>
    <w:rsid w:val="00E97544"/>
    <w:rsid w:val="00E97D5B"/>
    <w:rsid w:val="00EA08FF"/>
    <w:rsid w:val="00EA15EB"/>
    <w:rsid w:val="00EA173F"/>
    <w:rsid w:val="00EA19F5"/>
    <w:rsid w:val="00EA1EE9"/>
    <w:rsid w:val="00EA2499"/>
    <w:rsid w:val="00EA3128"/>
    <w:rsid w:val="00EA31BE"/>
    <w:rsid w:val="00EA3B4B"/>
    <w:rsid w:val="00EA424B"/>
    <w:rsid w:val="00EA42D6"/>
    <w:rsid w:val="00EA4DE3"/>
    <w:rsid w:val="00EA55D3"/>
    <w:rsid w:val="00EA5A16"/>
    <w:rsid w:val="00EA6AC7"/>
    <w:rsid w:val="00EA6B9A"/>
    <w:rsid w:val="00EA7384"/>
    <w:rsid w:val="00EA75AE"/>
    <w:rsid w:val="00EA75F0"/>
    <w:rsid w:val="00EA7932"/>
    <w:rsid w:val="00EB0389"/>
    <w:rsid w:val="00EB0876"/>
    <w:rsid w:val="00EB0902"/>
    <w:rsid w:val="00EB1592"/>
    <w:rsid w:val="00EB2696"/>
    <w:rsid w:val="00EB43F8"/>
    <w:rsid w:val="00EB481E"/>
    <w:rsid w:val="00EB4B6D"/>
    <w:rsid w:val="00EB5805"/>
    <w:rsid w:val="00EB5F7F"/>
    <w:rsid w:val="00EB5FFD"/>
    <w:rsid w:val="00EB6BDA"/>
    <w:rsid w:val="00EB78B7"/>
    <w:rsid w:val="00EB7953"/>
    <w:rsid w:val="00EB79E4"/>
    <w:rsid w:val="00EB7ACC"/>
    <w:rsid w:val="00EB7E73"/>
    <w:rsid w:val="00EC1655"/>
    <w:rsid w:val="00EC1C87"/>
    <w:rsid w:val="00EC2583"/>
    <w:rsid w:val="00EC2E64"/>
    <w:rsid w:val="00EC3101"/>
    <w:rsid w:val="00EC3604"/>
    <w:rsid w:val="00EC3A12"/>
    <w:rsid w:val="00EC48A5"/>
    <w:rsid w:val="00EC4D6A"/>
    <w:rsid w:val="00EC5471"/>
    <w:rsid w:val="00EC5DA2"/>
    <w:rsid w:val="00EC5F15"/>
    <w:rsid w:val="00EC64FC"/>
    <w:rsid w:val="00EC6D9A"/>
    <w:rsid w:val="00EC77A0"/>
    <w:rsid w:val="00EC7F3F"/>
    <w:rsid w:val="00ED0C17"/>
    <w:rsid w:val="00ED20BB"/>
    <w:rsid w:val="00ED2184"/>
    <w:rsid w:val="00ED2979"/>
    <w:rsid w:val="00ED313F"/>
    <w:rsid w:val="00ED357B"/>
    <w:rsid w:val="00ED3A38"/>
    <w:rsid w:val="00ED40B3"/>
    <w:rsid w:val="00ED51C2"/>
    <w:rsid w:val="00ED5B3F"/>
    <w:rsid w:val="00ED63C3"/>
    <w:rsid w:val="00ED6D96"/>
    <w:rsid w:val="00ED76F1"/>
    <w:rsid w:val="00ED7E06"/>
    <w:rsid w:val="00ED7E20"/>
    <w:rsid w:val="00EE026D"/>
    <w:rsid w:val="00EE02EF"/>
    <w:rsid w:val="00EE0649"/>
    <w:rsid w:val="00EE1153"/>
    <w:rsid w:val="00EE13D9"/>
    <w:rsid w:val="00EE1CFA"/>
    <w:rsid w:val="00EE3235"/>
    <w:rsid w:val="00EE390E"/>
    <w:rsid w:val="00EE3E5C"/>
    <w:rsid w:val="00EE412B"/>
    <w:rsid w:val="00EE44B1"/>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F00735"/>
    <w:rsid w:val="00F0274E"/>
    <w:rsid w:val="00F027B9"/>
    <w:rsid w:val="00F02BAD"/>
    <w:rsid w:val="00F02EFE"/>
    <w:rsid w:val="00F054ED"/>
    <w:rsid w:val="00F05F12"/>
    <w:rsid w:val="00F10841"/>
    <w:rsid w:val="00F1097A"/>
    <w:rsid w:val="00F10EEB"/>
    <w:rsid w:val="00F11217"/>
    <w:rsid w:val="00F12A70"/>
    <w:rsid w:val="00F13F06"/>
    <w:rsid w:val="00F1463D"/>
    <w:rsid w:val="00F15F7C"/>
    <w:rsid w:val="00F16AB9"/>
    <w:rsid w:val="00F17069"/>
    <w:rsid w:val="00F179E5"/>
    <w:rsid w:val="00F17C4C"/>
    <w:rsid w:val="00F17D1F"/>
    <w:rsid w:val="00F20347"/>
    <w:rsid w:val="00F209DB"/>
    <w:rsid w:val="00F236C0"/>
    <w:rsid w:val="00F23962"/>
    <w:rsid w:val="00F251CA"/>
    <w:rsid w:val="00F260F4"/>
    <w:rsid w:val="00F26CFE"/>
    <w:rsid w:val="00F312D5"/>
    <w:rsid w:val="00F31368"/>
    <w:rsid w:val="00F3193C"/>
    <w:rsid w:val="00F3199C"/>
    <w:rsid w:val="00F31D49"/>
    <w:rsid w:val="00F32572"/>
    <w:rsid w:val="00F326CC"/>
    <w:rsid w:val="00F3275E"/>
    <w:rsid w:val="00F329A0"/>
    <w:rsid w:val="00F33400"/>
    <w:rsid w:val="00F33881"/>
    <w:rsid w:val="00F33A01"/>
    <w:rsid w:val="00F34530"/>
    <w:rsid w:val="00F34B74"/>
    <w:rsid w:val="00F34BC9"/>
    <w:rsid w:val="00F34C6A"/>
    <w:rsid w:val="00F34E02"/>
    <w:rsid w:val="00F34F39"/>
    <w:rsid w:val="00F36351"/>
    <w:rsid w:val="00F36CA0"/>
    <w:rsid w:val="00F372C8"/>
    <w:rsid w:val="00F37C45"/>
    <w:rsid w:val="00F41009"/>
    <w:rsid w:val="00F4294A"/>
    <w:rsid w:val="00F42984"/>
    <w:rsid w:val="00F44D5D"/>
    <w:rsid w:val="00F44D96"/>
    <w:rsid w:val="00F44FDF"/>
    <w:rsid w:val="00F450B7"/>
    <w:rsid w:val="00F4642B"/>
    <w:rsid w:val="00F469F3"/>
    <w:rsid w:val="00F46EB1"/>
    <w:rsid w:val="00F47C5F"/>
    <w:rsid w:val="00F50B66"/>
    <w:rsid w:val="00F512AA"/>
    <w:rsid w:val="00F5247F"/>
    <w:rsid w:val="00F5402C"/>
    <w:rsid w:val="00F55B3D"/>
    <w:rsid w:val="00F55D07"/>
    <w:rsid w:val="00F57185"/>
    <w:rsid w:val="00F571A3"/>
    <w:rsid w:val="00F5729B"/>
    <w:rsid w:val="00F57453"/>
    <w:rsid w:val="00F57C02"/>
    <w:rsid w:val="00F60502"/>
    <w:rsid w:val="00F60A54"/>
    <w:rsid w:val="00F615BC"/>
    <w:rsid w:val="00F617A1"/>
    <w:rsid w:val="00F61DA9"/>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318"/>
    <w:rsid w:val="00F74688"/>
    <w:rsid w:val="00F7523A"/>
    <w:rsid w:val="00F765BB"/>
    <w:rsid w:val="00F76836"/>
    <w:rsid w:val="00F76FB2"/>
    <w:rsid w:val="00F7786E"/>
    <w:rsid w:val="00F77E86"/>
    <w:rsid w:val="00F80710"/>
    <w:rsid w:val="00F81334"/>
    <w:rsid w:val="00F81342"/>
    <w:rsid w:val="00F8138A"/>
    <w:rsid w:val="00F81F9D"/>
    <w:rsid w:val="00F82269"/>
    <w:rsid w:val="00F82C51"/>
    <w:rsid w:val="00F84276"/>
    <w:rsid w:val="00F84C40"/>
    <w:rsid w:val="00F84D5C"/>
    <w:rsid w:val="00F8561A"/>
    <w:rsid w:val="00F90128"/>
    <w:rsid w:val="00F906F8"/>
    <w:rsid w:val="00F90979"/>
    <w:rsid w:val="00F91A5D"/>
    <w:rsid w:val="00F92218"/>
    <w:rsid w:val="00F93353"/>
    <w:rsid w:val="00F9461E"/>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90B"/>
    <w:rsid w:val="00FA3AEF"/>
    <w:rsid w:val="00FA3EDA"/>
    <w:rsid w:val="00FA594E"/>
    <w:rsid w:val="00FA66F4"/>
    <w:rsid w:val="00FB28E3"/>
    <w:rsid w:val="00FB2D6A"/>
    <w:rsid w:val="00FB2FE4"/>
    <w:rsid w:val="00FB47E3"/>
    <w:rsid w:val="00FB4DF6"/>
    <w:rsid w:val="00FB540F"/>
    <w:rsid w:val="00FB5745"/>
    <w:rsid w:val="00FB5EA4"/>
    <w:rsid w:val="00FB779B"/>
    <w:rsid w:val="00FB7E36"/>
    <w:rsid w:val="00FC0258"/>
    <w:rsid w:val="00FC25EF"/>
    <w:rsid w:val="00FC31A1"/>
    <w:rsid w:val="00FC3E94"/>
    <w:rsid w:val="00FC451A"/>
    <w:rsid w:val="00FC47E5"/>
    <w:rsid w:val="00FC5057"/>
    <w:rsid w:val="00FC5247"/>
    <w:rsid w:val="00FC54C6"/>
    <w:rsid w:val="00FC5C5F"/>
    <w:rsid w:val="00FC7E2F"/>
    <w:rsid w:val="00FD15DB"/>
    <w:rsid w:val="00FD160F"/>
    <w:rsid w:val="00FD1E5A"/>
    <w:rsid w:val="00FD2215"/>
    <w:rsid w:val="00FD2EBA"/>
    <w:rsid w:val="00FD370F"/>
    <w:rsid w:val="00FD4970"/>
    <w:rsid w:val="00FD4CA4"/>
    <w:rsid w:val="00FD5C20"/>
    <w:rsid w:val="00FD615E"/>
    <w:rsid w:val="00FD61FD"/>
    <w:rsid w:val="00FD6268"/>
    <w:rsid w:val="00FD6669"/>
    <w:rsid w:val="00FD7AD3"/>
    <w:rsid w:val="00FD7C6F"/>
    <w:rsid w:val="00FE10AC"/>
    <w:rsid w:val="00FE2290"/>
    <w:rsid w:val="00FE2B03"/>
    <w:rsid w:val="00FE2B5C"/>
    <w:rsid w:val="00FE3258"/>
    <w:rsid w:val="00FE4AAC"/>
    <w:rsid w:val="00FE6276"/>
    <w:rsid w:val="00FE6B12"/>
    <w:rsid w:val="00FE7F95"/>
    <w:rsid w:val="00FF0CC9"/>
    <w:rsid w:val="00FF0D8C"/>
    <w:rsid w:val="00FF0F9B"/>
    <w:rsid w:val="00FF1359"/>
    <w:rsid w:val="00FF490C"/>
    <w:rsid w:val="00FF4B9A"/>
    <w:rsid w:val="00FF6428"/>
    <w:rsid w:val="00FF6A3A"/>
    <w:rsid w:val="00FF7986"/>
    <w:rsid w:val="00FF7B76"/>
    <w:rsid w:val="010C2C96"/>
    <w:rsid w:val="010C5046"/>
    <w:rsid w:val="010D671E"/>
    <w:rsid w:val="010F7072"/>
    <w:rsid w:val="01124840"/>
    <w:rsid w:val="011C1FFB"/>
    <w:rsid w:val="011F1DB8"/>
    <w:rsid w:val="012B351C"/>
    <w:rsid w:val="012D7A79"/>
    <w:rsid w:val="013E35E1"/>
    <w:rsid w:val="015F61EC"/>
    <w:rsid w:val="016844A4"/>
    <w:rsid w:val="01724F7C"/>
    <w:rsid w:val="01785C2C"/>
    <w:rsid w:val="01800DA6"/>
    <w:rsid w:val="018F0ADB"/>
    <w:rsid w:val="01911169"/>
    <w:rsid w:val="01982A7C"/>
    <w:rsid w:val="019A1914"/>
    <w:rsid w:val="019B1A9C"/>
    <w:rsid w:val="019E7BD8"/>
    <w:rsid w:val="01AA0068"/>
    <w:rsid w:val="01B47A59"/>
    <w:rsid w:val="01B862EF"/>
    <w:rsid w:val="01C20A07"/>
    <w:rsid w:val="01D34206"/>
    <w:rsid w:val="01E16EB7"/>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349AE"/>
    <w:rsid w:val="02B611E1"/>
    <w:rsid w:val="02B77957"/>
    <w:rsid w:val="02BB0734"/>
    <w:rsid w:val="02C42214"/>
    <w:rsid w:val="02CC6CBE"/>
    <w:rsid w:val="02CD5A24"/>
    <w:rsid w:val="02D25939"/>
    <w:rsid w:val="02DA3C5B"/>
    <w:rsid w:val="02E1151B"/>
    <w:rsid w:val="02E57F58"/>
    <w:rsid w:val="03024A00"/>
    <w:rsid w:val="03032339"/>
    <w:rsid w:val="030625CB"/>
    <w:rsid w:val="030C6F29"/>
    <w:rsid w:val="030D1D2D"/>
    <w:rsid w:val="0320730B"/>
    <w:rsid w:val="03245DFE"/>
    <w:rsid w:val="032E6D36"/>
    <w:rsid w:val="03344220"/>
    <w:rsid w:val="033928D2"/>
    <w:rsid w:val="03625B00"/>
    <w:rsid w:val="03666FB7"/>
    <w:rsid w:val="0369412B"/>
    <w:rsid w:val="036D6BA3"/>
    <w:rsid w:val="037736BF"/>
    <w:rsid w:val="0388753D"/>
    <w:rsid w:val="03AC26DB"/>
    <w:rsid w:val="03BA4347"/>
    <w:rsid w:val="03BB37B6"/>
    <w:rsid w:val="03D06CE8"/>
    <w:rsid w:val="03D3487F"/>
    <w:rsid w:val="03DA050F"/>
    <w:rsid w:val="03E1434F"/>
    <w:rsid w:val="03E24779"/>
    <w:rsid w:val="03E545BA"/>
    <w:rsid w:val="04031645"/>
    <w:rsid w:val="04123DBD"/>
    <w:rsid w:val="0415791F"/>
    <w:rsid w:val="04247E93"/>
    <w:rsid w:val="042D4BCA"/>
    <w:rsid w:val="0438233B"/>
    <w:rsid w:val="04415975"/>
    <w:rsid w:val="04422EA4"/>
    <w:rsid w:val="04453FA6"/>
    <w:rsid w:val="044F6169"/>
    <w:rsid w:val="045654C5"/>
    <w:rsid w:val="045841FB"/>
    <w:rsid w:val="04635E28"/>
    <w:rsid w:val="046E0340"/>
    <w:rsid w:val="0470433C"/>
    <w:rsid w:val="04795398"/>
    <w:rsid w:val="047D3A77"/>
    <w:rsid w:val="047E4E8C"/>
    <w:rsid w:val="048250A5"/>
    <w:rsid w:val="04965B36"/>
    <w:rsid w:val="049B6C0E"/>
    <w:rsid w:val="04AC5A06"/>
    <w:rsid w:val="04AE7343"/>
    <w:rsid w:val="04B90BB3"/>
    <w:rsid w:val="04C4109A"/>
    <w:rsid w:val="04D26CFA"/>
    <w:rsid w:val="04E63E02"/>
    <w:rsid w:val="04E847E3"/>
    <w:rsid w:val="04F964FE"/>
    <w:rsid w:val="05092FAB"/>
    <w:rsid w:val="050F0C3B"/>
    <w:rsid w:val="051038C0"/>
    <w:rsid w:val="05130A9A"/>
    <w:rsid w:val="05202CD7"/>
    <w:rsid w:val="05284567"/>
    <w:rsid w:val="052E677A"/>
    <w:rsid w:val="05320B7C"/>
    <w:rsid w:val="053467E6"/>
    <w:rsid w:val="0537577B"/>
    <w:rsid w:val="055968F8"/>
    <w:rsid w:val="055E2363"/>
    <w:rsid w:val="056475CC"/>
    <w:rsid w:val="05656253"/>
    <w:rsid w:val="05711383"/>
    <w:rsid w:val="057920E8"/>
    <w:rsid w:val="057A271D"/>
    <w:rsid w:val="057E6FEB"/>
    <w:rsid w:val="05994192"/>
    <w:rsid w:val="059F4AC3"/>
    <w:rsid w:val="05A31D76"/>
    <w:rsid w:val="05AD247A"/>
    <w:rsid w:val="05BE291C"/>
    <w:rsid w:val="05C575C9"/>
    <w:rsid w:val="05CB0777"/>
    <w:rsid w:val="05D53D9D"/>
    <w:rsid w:val="05D64790"/>
    <w:rsid w:val="05D86F60"/>
    <w:rsid w:val="05DA39A6"/>
    <w:rsid w:val="05E1417C"/>
    <w:rsid w:val="05EF05A3"/>
    <w:rsid w:val="05F02461"/>
    <w:rsid w:val="05F42BDE"/>
    <w:rsid w:val="05FC2CC6"/>
    <w:rsid w:val="060E60F1"/>
    <w:rsid w:val="06151530"/>
    <w:rsid w:val="061834A6"/>
    <w:rsid w:val="061E78E4"/>
    <w:rsid w:val="062524A0"/>
    <w:rsid w:val="0629366B"/>
    <w:rsid w:val="062C1339"/>
    <w:rsid w:val="06396C2F"/>
    <w:rsid w:val="06414FF3"/>
    <w:rsid w:val="06496457"/>
    <w:rsid w:val="0655713A"/>
    <w:rsid w:val="06625D2A"/>
    <w:rsid w:val="06651536"/>
    <w:rsid w:val="066C6069"/>
    <w:rsid w:val="066E6FEA"/>
    <w:rsid w:val="067C1790"/>
    <w:rsid w:val="067D6DB8"/>
    <w:rsid w:val="069271F5"/>
    <w:rsid w:val="06984400"/>
    <w:rsid w:val="06A74C05"/>
    <w:rsid w:val="06B4093A"/>
    <w:rsid w:val="06C34D8E"/>
    <w:rsid w:val="06D020E0"/>
    <w:rsid w:val="06ED199B"/>
    <w:rsid w:val="06EF716D"/>
    <w:rsid w:val="06FE4493"/>
    <w:rsid w:val="07010286"/>
    <w:rsid w:val="070241E9"/>
    <w:rsid w:val="07106769"/>
    <w:rsid w:val="071A4087"/>
    <w:rsid w:val="071A7BFC"/>
    <w:rsid w:val="071B04B1"/>
    <w:rsid w:val="07203EF1"/>
    <w:rsid w:val="072B394E"/>
    <w:rsid w:val="073D0D2B"/>
    <w:rsid w:val="07525D62"/>
    <w:rsid w:val="075F4260"/>
    <w:rsid w:val="076F68F3"/>
    <w:rsid w:val="078134DF"/>
    <w:rsid w:val="07882FBE"/>
    <w:rsid w:val="078B6222"/>
    <w:rsid w:val="079727D2"/>
    <w:rsid w:val="079F7CA9"/>
    <w:rsid w:val="07A1167C"/>
    <w:rsid w:val="07AE108C"/>
    <w:rsid w:val="07B27B3D"/>
    <w:rsid w:val="07B354B0"/>
    <w:rsid w:val="07B42F31"/>
    <w:rsid w:val="07BA4CCA"/>
    <w:rsid w:val="07C210D3"/>
    <w:rsid w:val="07C244FC"/>
    <w:rsid w:val="07C43646"/>
    <w:rsid w:val="07D17825"/>
    <w:rsid w:val="07D46474"/>
    <w:rsid w:val="0810594A"/>
    <w:rsid w:val="081B6711"/>
    <w:rsid w:val="081E5651"/>
    <w:rsid w:val="083539DF"/>
    <w:rsid w:val="08364F7D"/>
    <w:rsid w:val="084A4F03"/>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40031D"/>
    <w:rsid w:val="094C219D"/>
    <w:rsid w:val="09564770"/>
    <w:rsid w:val="095E1A3B"/>
    <w:rsid w:val="095F2523"/>
    <w:rsid w:val="09622C8A"/>
    <w:rsid w:val="096676A7"/>
    <w:rsid w:val="096C6A74"/>
    <w:rsid w:val="09712142"/>
    <w:rsid w:val="09772C47"/>
    <w:rsid w:val="09865AC0"/>
    <w:rsid w:val="0987783C"/>
    <w:rsid w:val="098D4755"/>
    <w:rsid w:val="09941D3F"/>
    <w:rsid w:val="09942912"/>
    <w:rsid w:val="099D6E4D"/>
    <w:rsid w:val="09A9376A"/>
    <w:rsid w:val="09AE11F7"/>
    <w:rsid w:val="09B84622"/>
    <w:rsid w:val="09B96184"/>
    <w:rsid w:val="09C01D0D"/>
    <w:rsid w:val="09C45552"/>
    <w:rsid w:val="09CE177B"/>
    <w:rsid w:val="09D443EF"/>
    <w:rsid w:val="09DA3055"/>
    <w:rsid w:val="09E372EC"/>
    <w:rsid w:val="09EA6024"/>
    <w:rsid w:val="09FB48BE"/>
    <w:rsid w:val="0A017F6F"/>
    <w:rsid w:val="0A0D7F05"/>
    <w:rsid w:val="0A2E2DC6"/>
    <w:rsid w:val="0A2F05B8"/>
    <w:rsid w:val="0A310D95"/>
    <w:rsid w:val="0A312D88"/>
    <w:rsid w:val="0A442F3E"/>
    <w:rsid w:val="0A5627EE"/>
    <w:rsid w:val="0A5954C5"/>
    <w:rsid w:val="0A5B02BB"/>
    <w:rsid w:val="0A6527F0"/>
    <w:rsid w:val="0A67309C"/>
    <w:rsid w:val="0A6A061B"/>
    <w:rsid w:val="0A6C53BD"/>
    <w:rsid w:val="0A742C74"/>
    <w:rsid w:val="0A7D6CA0"/>
    <w:rsid w:val="0A91410C"/>
    <w:rsid w:val="0A956499"/>
    <w:rsid w:val="0A9F4075"/>
    <w:rsid w:val="0A9F4449"/>
    <w:rsid w:val="0AAB1C3E"/>
    <w:rsid w:val="0AAD6510"/>
    <w:rsid w:val="0AB511CC"/>
    <w:rsid w:val="0AD211EC"/>
    <w:rsid w:val="0AD52C15"/>
    <w:rsid w:val="0B03303B"/>
    <w:rsid w:val="0B177AE4"/>
    <w:rsid w:val="0B1E1622"/>
    <w:rsid w:val="0B1E4234"/>
    <w:rsid w:val="0B210FF4"/>
    <w:rsid w:val="0B214EC8"/>
    <w:rsid w:val="0B41668F"/>
    <w:rsid w:val="0B4C4CA4"/>
    <w:rsid w:val="0B4C67B5"/>
    <w:rsid w:val="0B5625FF"/>
    <w:rsid w:val="0B5C0F89"/>
    <w:rsid w:val="0B5C2E5A"/>
    <w:rsid w:val="0B671C59"/>
    <w:rsid w:val="0B6D7F8B"/>
    <w:rsid w:val="0B7456C3"/>
    <w:rsid w:val="0B825193"/>
    <w:rsid w:val="0B8437E7"/>
    <w:rsid w:val="0B844680"/>
    <w:rsid w:val="0B8D3582"/>
    <w:rsid w:val="0B9A07FC"/>
    <w:rsid w:val="0B9B252E"/>
    <w:rsid w:val="0BA86BCF"/>
    <w:rsid w:val="0BC504C7"/>
    <w:rsid w:val="0BC52D14"/>
    <w:rsid w:val="0BC6680E"/>
    <w:rsid w:val="0BD654CD"/>
    <w:rsid w:val="0BE74C1A"/>
    <w:rsid w:val="0BEF058D"/>
    <w:rsid w:val="0BFB2986"/>
    <w:rsid w:val="0BFD70B9"/>
    <w:rsid w:val="0C010F49"/>
    <w:rsid w:val="0C0254AB"/>
    <w:rsid w:val="0C0517F8"/>
    <w:rsid w:val="0C14470F"/>
    <w:rsid w:val="0C354CA2"/>
    <w:rsid w:val="0C3A499F"/>
    <w:rsid w:val="0C3C1277"/>
    <w:rsid w:val="0C5648A3"/>
    <w:rsid w:val="0C5B1651"/>
    <w:rsid w:val="0C6C1A7E"/>
    <w:rsid w:val="0C7E1018"/>
    <w:rsid w:val="0C7F2301"/>
    <w:rsid w:val="0C7F6489"/>
    <w:rsid w:val="0C815E9E"/>
    <w:rsid w:val="0C981DBF"/>
    <w:rsid w:val="0C984295"/>
    <w:rsid w:val="0CAE3418"/>
    <w:rsid w:val="0CBB578A"/>
    <w:rsid w:val="0CD37A86"/>
    <w:rsid w:val="0CD636EC"/>
    <w:rsid w:val="0CE72916"/>
    <w:rsid w:val="0CF211E2"/>
    <w:rsid w:val="0CF7154E"/>
    <w:rsid w:val="0D0F45AD"/>
    <w:rsid w:val="0D2248EA"/>
    <w:rsid w:val="0D3A4CFC"/>
    <w:rsid w:val="0D3F0D33"/>
    <w:rsid w:val="0D401645"/>
    <w:rsid w:val="0D5C24F9"/>
    <w:rsid w:val="0D6F127E"/>
    <w:rsid w:val="0D777DEE"/>
    <w:rsid w:val="0D7B7804"/>
    <w:rsid w:val="0D8205BD"/>
    <w:rsid w:val="0D8E2736"/>
    <w:rsid w:val="0D9C6CDB"/>
    <w:rsid w:val="0DAE7784"/>
    <w:rsid w:val="0DB86A13"/>
    <w:rsid w:val="0DBB3214"/>
    <w:rsid w:val="0DC71A36"/>
    <w:rsid w:val="0DCB220A"/>
    <w:rsid w:val="0DDF1C1F"/>
    <w:rsid w:val="0DE30F5D"/>
    <w:rsid w:val="0DF70178"/>
    <w:rsid w:val="0E014504"/>
    <w:rsid w:val="0E1171EA"/>
    <w:rsid w:val="0E176264"/>
    <w:rsid w:val="0E3F7F0F"/>
    <w:rsid w:val="0E4168D4"/>
    <w:rsid w:val="0E44065A"/>
    <w:rsid w:val="0E486F1E"/>
    <w:rsid w:val="0E4A6C28"/>
    <w:rsid w:val="0E4D0134"/>
    <w:rsid w:val="0E50142D"/>
    <w:rsid w:val="0E5E3B71"/>
    <w:rsid w:val="0E65495E"/>
    <w:rsid w:val="0E6F26FB"/>
    <w:rsid w:val="0E740ECE"/>
    <w:rsid w:val="0E7C070E"/>
    <w:rsid w:val="0E7D4BB9"/>
    <w:rsid w:val="0E836F21"/>
    <w:rsid w:val="0E85455D"/>
    <w:rsid w:val="0E913E6E"/>
    <w:rsid w:val="0E973A69"/>
    <w:rsid w:val="0E981D86"/>
    <w:rsid w:val="0E997FE5"/>
    <w:rsid w:val="0E9F5CF3"/>
    <w:rsid w:val="0EA65EF1"/>
    <w:rsid w:val="0EAB581F"/>
    <w:rsid w:val="0EB01965"/>
    <w:rsid w:val="0EB633D9"/>
    <w:rsid w:val="0EBC4089"/>
    <w:rsid w:val="0EC224D5"/>
    <w:rsid w:val="0ED25BA6"/>
    <w:rsid w:val="0ED472D6"/>
    <w:rsid w:val="0EDF78EC"/>
    <w:rsid w:val="0EE44596"/>
    <w:rsid w:val="0EF04C39"/>
    <w:rsid w:val="0EF331DC"/>
    <w:rsid w:val="0EFC7E0C"/>
    <w:rsid w:val="0F23590D"/>
    <w:rsid w:val="0F335E45"/>
    <w:rsid w:val="0F36664C"/>
    <w:rsid w:val="0F377A44"/>
    <w:rsid w:val="0F3B100B"/>
    <w:rsid w:val="0F413A6B"/>
    <w:rsid w:val="0F494403"/>
    <w:rsid w:val="0F511440"/>
    <w:rsid w:val="0F597D2B"/>
    <w:rsid w:val="0F5F15FB"/>
    <w:rsid w:val="0F6B69E6"/>
    <w:rsid w:val="0F6D453B"/>
    <w:rsid w:val="0F700740"/>
    <w:rsid w:val="0F784778"/>
    <w:rsid w:val="0F810E9F"/>
    <w:rsid w:val="0F89215E"/>
    <w:rsid w:val="0F9C4063"/>
    <w:rsid w:val="0FAB1E67"/>
    <w:rsid w:val="0FAF74C9"/>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214D2"/>
    <w:rsid w:val="100A2A84"/>
    <w:rsid w:val="10110BF5"/>
    <w:rsid w:val="1015521C"/>
    <w:rsid w:val="10190390"/>
    <w:rsid w:val="10190546"/>
    <w:rsid w:val="1024738C"/>
    <w:rsid w:val="103074A4"/>
    <w:rsid w:val="10377FC6"/>
    <w:rsid w:val="103E26EE"/>
    <w:rsid w:val="10421258"/>
    <w:rsid w:val="104E2DB8"/>
    <w:rsid w:val="105F615E"/>
    <w:rsid w:val="10697481"/>
    <w:rsid w:val="10761009"/>
    <w:rsid w:val="10784A30"/>
    <w:rsid w:val="107E1D28"/>
    <w:rsid w:val="109346BA"/>
    <w:rsid w:val="10987171"/>
    <w:rsid w:val="10A35CFB"/>
    <w:rsid w:val="10A926B4"/>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02134"/>
    <w:rsid w:val="11381078"/>
    <w:rsid w:val="113832BD"/>
    <w:rsid w:val="1138366C"/>
    <w:rsid w:val="11386B92"/>
    <w:rsid w:val="1142142D"/>
    <w:rsid w:val="11461BB2"/>
    <w:rsid w:val="114E2471"/>
    <w:rsid w:val="115619BD"/>
    <w:rsid w:val="11657599"/>
    <w:rsid w:val="116F110F"/>
    <w:rsid w:val="1182367E"/>
    <w:rsid w:val="118F20F0"/>
    <w:rsid w:val="11AA141F"/>
    <w:rsid w:val="11AB3608"/>
    <w:rsid w:val="11AC53EA"/>
    <w:rsid w:val="11B36E5C"/>
    <w:rsid w:val="11B63D10"/>
    <w:rsid w:val="11C03964"/>
    <w:rsid w:val="11C67F9C"/>
    <w:rsid w:val="11CA0EC8"/>
    <w:rsid w:val="11D06FB5"/>
    <w:rsid w:val="11D61453"/>
    <w:rsid w:val="11DF7916"/>
    <w:rsid w:val="11E56059"/>
    <w:rsid w:val="11E85055"/>
    <w:rsid w:val="11EB0245"/>
    <w:rsid w:val="11EB03E8"/>
    <w:rsid w:val="11F35B9A"/>
    <w:rsid w:val="11FC5539"/>
    <w:rsid w:val="12060AC1"/>
    <w:rsid w:val="121D6A8E"/>
    <w:rsid w:val="12247759"/>
    <w:rsid w:val="12257DC6"/>
    <w:rsid w:val="122A0EC2"/>
    <w:rsid w:val="122A14A8"/>
    <w:rsid w:val="122A6356"/>
    <w:rsid w:val="122F70E6"/>
    <w:rsid w:val="12353A38"/>
    <w:rsid w:val="124555A0"/>
    <w:rsid w:val="124F6BF8"/>
    <w:rsid w:val="12527B47"/>
    <w:rsid w:val="125604F3"/>
    <w:rsid w:val="125F5D8E"/>
    <w:rsid w:val="12731475"/>
    <w:rsid w:val="12831FD8"/>
    <w:rsid w:val="12921E76"/>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46422"/>
    <w:rsid w:val="134C2116"/>
    <w:rsid w:val="13521337"/>
    <w:rsid w:val="13592639"/>
    <w:rsid w:val="135F6DFD"/>
    <w:rsid w:val="13676827"/>
    <w:rsid w:val="137B4C85"/>
    <w:rsid w:val="137F60C1"/>
    <w:rsid w:val="138D1F7C"/>
    <w:rsid w:val="13957A8B"/>
    <w:rsid w:val="139D681F"/>
    <w:rsid w:val="139F09FA"/>
    <w:rsid w:val="13A609E7"/>
    <w:rsid w:val="13AD4474"/>
    <w:rsid w:val="13B1147D"/>
    <w:rsid w:val="13B4698A"/>
    <w:rsid w:val="13BD019D"/>
    <w:rsid w:val="13CE63E6"/>
    <w:rsid w:val="13E21CD1"/>
    <w:rsid w:val="13E342D2"/>
    <w:rsid w:val="13E346E1"/>
    <w:rsid w:val="13E57A43"/>
    <w:rsid w:val="13FC3E5D"/>
    <w:rsid w:val="140112F5"/>
    <w:rsid w:val="140719E6"/>
    <w:rsid w:val="14074B59"/>
    <w:rsid w:val="14093A6F"/>
    <w:rsid w:val="140E7218"/>
    <w:rsid w:val="141D458E"/>
    <w:rsid w:val="14266D5F"/>
    <w:rsid w:val="142733EA"/>
    <w:rsid w:val="142B6A9A"/>
    <w:rsid w:val="145A1D34"/>
    <w:rsid w:val="145E1395"/>
    <w:rsid w:val="146042B9"/>
    <w:rsid w:val="14604F96"/>
    <w:rsid w:val="14634C74"/>
    <w:rsid w:val="14656774"/>
    <w:rsid w:val="14672DC6"/>
    <w:rsid w:val="14762D0E"/>
    <w:rsid w:val="147809E1"/>
    <w:rsid w:val="149A22F6"/>
    <w:rsid w:val="149E0BD6"/>
    <w:rsid w:val="149F0103"/>
    <w:rsid w:val="14A6546F"/>
    <w:rsid w:val="14B41CB6"/>
    <w:rsid w:val="14BB16C1"/>
    <w:rsid w:val="14BF4344"/>
    <w:rsid w:val="14C352AB"/>
    <w:rsid w:val="14C43015"/>
    <w:rsid w:val="14C72E33"/>
    <w:rsid w:val="14D14737"/>
    <w:rsid w:val="14DD64AD"/>
    <w:rsid w:val="14E07294"/>
    <w:rsid w:val="14E243FA"/>
    <w:rsid w:val="15000605"/>
    <w:rsid w:val="15186E7A"/>
    <w:rsid w:val="151D5AB3"/>
    <w:rsid w:val="152B59BE"/>
    <w:rsid w:val="154A78EE"/>
    <w:rsid w:val="154C4342"/>
    <w:rsid w:val="155852D1"/>
    <w:rsid w:val="155D389D"/>
    <w:rsid w:val="156241AD"/>
    <w:rsid w:val="156E7678"/>
    <w:rsid w:val="157F5F3D"/>
    <w:rsid w:val="15954377"/>
    <w:rsid w:val="159A3460"/>
    <w:rsid w:val="159C03E5"/>
    <w:rsid w:val="15A518E9"/>
    <w:rsid w:val="15B266E7"/>
    <w:rsid w:val="15BD6D37"/>
    <w:rsid w:val="15C1546A"/>
    <w:rsid w:val="15CB1A43"/>
    <w:rsid w:val="15D2294C"/>
    <w:rsid w:val="15D95D02"/>
    <w:rsid w:val="15DE0CCC"/>
    <w:rsid w:val="15DE48AA"/>
    <w:rsid w:val="15E1693C"/>
    <w:rsid w:val="15F647D0"/>
    <w:rsid w:val="1600660E"/>
    <w:rsid w:val="161B6920"/>
    <w:rsid w:val="16223B81"/>
    <w:rsid w:val="16270BED"/>
    <w:rsid w:val="162E0482"/>
    <w:rsid w:val="16303C30"/>
    <w:rsid w:val="1645537C"/>
    <w:rsid w:val="164E0C5E"/>
    <w:rsid w:val="165C60CE"/>
    <w:rsid w:val="165D0B20"/>
    <w:rsid w:val="165F29AD"/>
    <w:rsid w:val="16637D38"/>
    <w:rsid w:val="167215EA"/>
    <w:rsid w:val="16773DA9"/>
    <w:rsid w:val="16783169"/>
    <w:rsid w:val="167F131F"/>
    <w:rsid w:val="167F185A"/>
    <w:rsid w:val="16833D6B"/>
    <w:rsid w:val="168827BB"/>
    <w:rsid w:val="168855BC"/>
    <w:rsid w:val="168E4861"/>
    <w:rsid w:val="16962C45"/>
    <w:rsid w:val="169D633A"/>
    <w:rsid w:val="16AF52BC"/>
    <w:rsid w:val="16B31A3F"/>
    <w:rsid w:val="16C23278"/>
    <w:rsid w:val="16C3321D"/>
    <w:rsid w:val="16CA18BE"/>
    <w:rsid w:val="16D30710"/>
    <w:rsid w:val="16DE5DCD"/>
    <w:rsid w:val="16E3612D"/>
    <w:rsid w:val="16F57D88"/>
    <w:rsid w:val="1701270F"/>
    <w:rsid w:val="17190EAD"/>
    <w:rsid w:val="17233957"/>
    <w:rsid w:val="17257E6A"/>
    <w:rsid w:val="172B0CA4"/>
    <w:rsid w:val="172D25D1"/>
    <w:rsid w:val="17324DD0"/>
    <w:rsid w:val="173B7626"/>
    <w:rsid w:val="173C4F5C"/>
    <w:rsid w:val="173C59CD"/>
    <w:rsid w:val="173C6D9B"/>
    <w:rsid w:val="17504B00"/>
    <w:rsid w:val="17533F7B"/>
    <w:rsid w:val="175D7DCB"/>
    <w:rsid w:val="176E37C0"/>
    <w:rsid w:val="176F63F4"/>
    <w:rsid w:val="177D764E"/>
    <w:rsid w:val="17814641"/>
    <w:rsid w:val="178733D8"/>
    <w:rsid w:val="17A34DC3"/>
    <w:rsid w:val="17AC2CDF"/>
    <w:rsid w:val="17BE5764"/>
    <w:rsid w:val="17C02955"/>
    <w:rsid w:val="17D0765E"/>
    <w:rsid w:val="17E1659F"/>
    <w:rsid w:val="17F75EA0"/>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6407CC"/>
    <w:rsid w:val="18810459"/>
    <w:rsid w:val="18950F85"/>
    <w:rsid w:val="189917C4"/>
    <w:rsid w:val="18A53A61"/>
    <w:rsid w:val="18A57935"/>
    <w:rsid w:val="18B12020"/>
    <w:rsid w:val="18B262F7"/>
    <w:rsid w:val="18C45EB5"/>
    <w:rsid w:val="18DA686A"/>
    <w:rsid w:val="18DE4004"/>
    <w:rsid w:val="18E263FE"/>
    <w:rsid w:val="18E26B60"/>
    <w:rsid w:val="18E36A88"/>
    <w:rsid w:val="18E43848"/>
    <w:rsid w:val="18EF6F6A"/>
    <w:rsid w:val="19101703"/>
    <w:rsid w:val="192155E5"/>
    <w:rsid w:val="192447C5"/>
    <w:rsid w:val="19337DB7"/>
    <w:rsid w:val="193819F6"/>
    <w:rsid w:val="19385F26"/>
    <w:rsid w:val="19424962"/>
    <w:rsid w:val="19443B37"/>
    <w:rsid w:val="19447ACE"/>
    <w:rsid w:val="19501C54"/>
    <w:rsid w:val="195A51EA"/>
    <w:rsid w:val="195E486D"/>
    <w:rsid w:val="1963665A"/>
    <w:rsid w:val="196569EA"/>
    <w:rsid w:val="196E2D26"/>
    <w:rsid w:val="198A0B2E"/>
    <w:rsid w:val="198E36B4"/>
    <w:rsid w:val="19945392"/>
    <w:rsid w:val="19950B90"/>
    <w:rsid w:val="199969C7"/>
    <w:rsid w:val="19B22870"/>
    <w:rsid w:val="19C40F6B"/>
    <w:rsid w:val="19C66F6C"/>
    <w:rsid w:val="19CA465F"/>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C5B0B"/>
    <w:rsid w:val="1A85418F"/>
    <w:rsid w:val="1A992AA9"/>
    <w:rsid w:val="1A9B372A"/>
    <w:rsid w:val="1AA55B7F"/>
    <w:rsid w:val="1AAE178F"/>
    <w:rsid w:val="1AB25285"/>
    <w:rsid w:val="1ABD5800"/>
    <w:rsid w:val="1AEC3962"/>
    <w:rsid w:val="1AF81775"/>
    <w:rsid w:val="1AFD16E0"/>
    <w:rsid w:val="1B3237B5"/>
    <w:rsid w:val="1B32716B"/>
    <w:rsid w:val="1B4972A7"/>
    <w:rsid w:val="1B511989"/>
    <w:rsid w:val="1B5418FE"/>
    <w:rsid w:val="1B8841DE"/>
    <w:rsid w:val="1B98518A"/>
    <w:rsid w:val="1BA15FE4"/>
    <w:rsid w:val="1BA42378"/>
    <w:rsid w:val="1BA61A06"/>
    <w:rsid w:val="1BA957E2"/>
    <w:rsid w:val="1BB1659A"/>
    <w:rsid w:val="1BB44114"/>
    <w:rsid w:val="1BB64B12"/>
    <w:rsid w:val="1BE60593"/>
    <w:rsid w:val="1BE81287"/>
    <w:rsid w:val="1BF3115B"/>
    <w:rsid w:val="1BF76A7A"/>
    <w:rsid w:val="1BF93BFC"/>
    <w:rsid w:val="1C167667"/>
    <w:rsid w:val="1C266E97"/>
    <w:rsid w:val="1C2B2DDB"/>
    <w:rsid w:val="1C2E454B"/>
    <w:rsid w:val="1C300581"/>
    <w:rsid w:val="1C321D73"/>
    <w:rsid w:val="1C3B3467"/>
    <w:rsid w:val="1C413C84"/>
    <w:rsid w:val="1C4224CA"/>
    <w:rsid w:val="1C486B9A"/>
    <w:rsid w:val="1C4A36C8"/>
    <w:rsid w:val="1C570DDB"/>
    <w:rsid w:val="1C6A6813"/>
    <w:rsid w:val="1C8E42F9"/>
    <w:rsid w:val="1CA31D49"/>
    <w:rsid w:val="1CAE3FF4"/>
    <w:rsid w:val="1CB00001"/>
    <w:rsid w:val="1CBD4F58"/>
    <w:rsid w:val="1CCE4D04"/>
    <w:rsid w:val="1CCE53FA"/>
    <w:rsid w:val="1CD65C5D"/>
    <w:rsid w:val="1CE10CB1"/>
    <w:rsid w:val="1CE17219"/>
    <w:rsid w:val="1CE654FE"/>
    <w:rsid w:val="1CE90CEC"/>
    <w:rsid w:val="1CFC7CE7"/>
    <w:rsid w:val="1D0A638B"/>
    <w:rsid w:val="1D0D657C"/>
    <w:rsid w:val="1D0F2537"/>
    <w:rsid w:val="1D1E1666"/>
    <w:rsid w:val="1D2364DF"/>
    <w:rsid w:val="1D260219"/>
    <w:rsid w:val="1D48051B"/>
    <w:rsid w:val="1D4A1CE0"/>
    <w:rsid w:val="1D4F1B96"/>
    <w:rsid w:val="1D64043C"/>
    <w:rsid w:val="1D6B214C"/>
    <w:rsid w:val="1D6D0733"/>
    <w:rsid w:val="1D7A5D9B"/>
    <w:rsid w:val="1D7B10C7"/>
    <w:rsid w:val="1D812265"/>
    <w:rsid w:val="1D8704DB"/>
    <w:rsid w:val="1D8D1FD3"/>
    <w:rsid w:val="1D941AC7"/>
    <w:rsid w:val="1D987CBA"/>
    <w:rsid w:val="1D9C098F"/>
    <w:rsid w:val="1D9C5FC4"/>
    <w:rsid w:val="1DA100CA"/>
    <w:rsid w:val="1DAD49C3"/>
    <w:rsid w:val="1DBB675A"/>
    <w:rsid w:val="1DBD2F9A"/>
    <w:rsid w:val="1DC0455E"/>
    <w:rsid w:val="1DC22763"/>
    <w:rsid w:val="1DCE3FFE"/>
    <w:rsid w:val="1DD832F6"/>
    <w:rsid w:val="1DD83933"/>
    <w:rsid w:val="1DDB45A9"/>
    <w:rsid w:val="1DE70C5B"/>
    <w:rsid w:val="1DE73511"/>
    <w:rsid w:val="1DF94C86"/>
    <w:rsid w:val="1E0B50F4"/>
    <w:rsid w:val="1E102152"/>
    <w:rsid w:val="1E115DC6"/>
    <w:rsid w:val="1E283E02"/>
    <w:rsid w:val="1E460348"/>
    <w:rsid w:val="1E516D5B"/>
    <w:rsid w:val="1E52442C"/>
    <w:rsid w:val="1E5B6196"/>
    <w:rsid w:val="1E644095"/>
    <w:rsid w:val="1E7A27EB"/>
    <w:rsid w:val="1E7E3792"/>
    <w:rsid w:val="1E834016"/>
    <w:rsid w:val="1E886A65"/>
    <w:rsid w:val="1EA255E0"/>
    <w:rsid w:val="1EA87ECC"/>
    <w:rsid w:val="1EAF3C67"/>
    <w:rsid w:val="1EC633BA"/>
    <w:rsid w:val="1EE259DB"/>
    <w:rsid w:val="1EE4183B"/>
    <w:rsid w:val="1EE75A1B"/>
    <w:rsid w:val="1EF20D52"/>
    <w:rsid w:val="1F112940"/>
    <w:rsid w:val="1F200118"/>
    <w:rsid w:val="1F275E44"/>
    <w:rsid w:val="1F2968FE"/>
    <w:rsid w:val="1F346147"/>
    <w:rsid w:val="1F3A5D79"/>
    <w:rsid w:val="1F4362FD"/>
    <w:rsid w:val="1F6571E7"/>
    <w:rsid w:val="1F6F453F"/>
    <w:rsid w:val="1F7B1D02"/>
    <w:rsid w:val="1F972CE6"/>
    <w:rsid w:val="1F994EA3"/>
    <w:rsid w:val="1F9C32DD"/>
    <w:rsid w:val="1FBD6756"/>
    <w:rsid w:val="1FC3430B"/>
    <w:rsid w:val="1FC63586"/>
    <w:rsid w:val="1FE864AB"/>
    <w:rsid w:val="1FF354D1"/>
    <w:rsid w:val="1FFA7348"/>
    <w:rsid w:val="1FFC2901"/>
    <w:rsid w:val="1FFF2EF5"/>
    <w:rsid w:val="200529AD"/>
    <w:rsid w:val="200B5B4F"/>
    <w:rsid w:val="2018599A"/>
    <w:rsid w:val="202D110C"/>
    <w:rsid w:val="20325711"/>
    <w:rsid w:val="2033143A"/>
    <w:rsid w:val="20471356"/>
    <w:rsid w:val="204D4DE3"/>
    <w:rsid w:val="20594D80"/>
    <w:rsid w:val="206435D7"/>
    <w:rsid w:val="206D35F1"/>
    <w:rsid w:val="206D466F"/>
    <w:rsid w:val="2071563A"/>
    <w:rsid w:val="20787351"/>
    <w:rsid w:val="2079128E"/>
    <w:rsid w:val="208A5CA8"/>
    <w:rsid w:val="20A72B6F"/>
    <w:rsid w:val="20AA0ECB"/>
    <w:rsid w:val="20B36581"/>
    <w:rsid w:val="20B66441"/>
    <w:rsid w:val="20B77B53"/>
    <w:rsid w:val="20BA2C6B"/>
    <w:rsid w:val="20BA463F"/>
    <w:rsid w:val="20BD1651"/>
    <w:rsid w:val="20BD1763"/>
    <w:rsid w:val="20BF6BA7"/>
    <w:rsid w:val="20C20828"/>
    <w:rsid w:val="20C330DB"/>
    <w:rsid w:val="20CC7A11"/>
    <w:rsid w:val="20D76576"/>
    <w:rsid w:val="20DD736E"/>
    <w:rsid w:val="20E223C4"/>
    <w:rsid w:val="20E536B6"/>
    <w:rsid w:val="20FA2DBA"/>
    <w:rsid w:val="21040F03"/>
    <w:rsid w:val="210752C6"/>
    <w:rsid w:val="210A1FC8"/>
    <w:rsid w:val="21111320"/>
    <w:rsid w:val="21150C97"/>
    <w:rsid w:val="212719AD"/>
    <w:rsid w:val="214A321C"/>
    <w:rsid w:val="214F69C3"/>
    <w:rsid w:val="21597BE7"/>
    <w:rsid w:val="21760F63"/>
    <w:rsid w:val="21832276"/>
    <w:rsid w:val="2188584E"/>
    <w:rsid w:val="21943617"/>
    <w:rsid w:val="21A76846"/>
    <w:rsid w:val="21D708FC"/>
    <w:rsid w:val="21E64786"/>
    <w:rsid w:val="21EC5D9B"/>
    <w:rsid w:val="21EC6AEC"/>
    <w:rsid w:val="21EE7310"/>
    <w:rsid w:val="21F962CD"/>
    <w:rsid w:val="22040412"/>
    <w:rsid w:val="22135B75"/>
    <w:rsid w:val="22226E2D"/>
    <w:rsid w:val="222F68A5"/>
    <w:rsid w:val="22460F9B"/>
    <w:rsid w:val="225215FB"/>
    <w:rsid w:val="226D1E72"/>
    <w:rsid w:val="227475A2"/>
    <w:rsid w:val="227576FF"/>
    <w:rsid w:val="228618EC"/>
    <w:rsid w:val="228864DE"/>
    <w:rsid w:val="22917AEB"/>
    <w:rsid w:val="22AB2187"/>
    <w:rsid w:val="22AF4D88"/>
    <w:rsid w:val="22CD7AC4"/>
    <w:rsid w:val="22E14913"/>
    <w:rsid w:val="22F61DC1"/>
    <w:rsid w:val="22F914EA"/>
    <w:rsid w:val="22FA40FC"/>
    <w:rsid w:val="23034949"/>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925F8"/>
    <w:rsid w:val="2399580C"/>
    <w:rsid w:val="23A00778"/>
    <w:rsid w:val="23A55874"/>
    <w:rsid w:val="23B86C1E"/>
    <w:rsid w:val="23BA62B8"/>
    <w:rsid w:val="23C7201E"/>
    <w:rsid w:val="23CE2493"/>
    <w:rsid w:val="23E372C7"/>
    <w:rsid w:val="23F37570"/>
    <w:rsid w:val="23FF389D"/>
    <w:rsid w:val="24051444"/>
    <w:rsid w:val="24084291"/>
    <w:rsid w:val="240932EA"/>
    <w:rsid w:val="2422188D"/>
    <w:rsid w:val="24250EB0"/>
    <w:rsid w:val="242669EB"/>
    <w:rsid w:val="24275BFF"/>
    <w:rsid w:val="243144DD"/>
    <w:rsid w:val="24385779"/>
    <w:rsid w:val="2439048D"/>
    <w:rsid w:val="243D1B12"/>
    <w:rsid w:val="244467AE"/>
    <w:rsid w:val="244B06CE"/>
    <w:rsid w:val="24595C73"/>
    <w:rsid w:val="24634BD4"/>
    <w:rsid w:val="246D4098"/>
    <w:rsid w:val="246F4775"/>
    <w:rsid w:val="24722BBA"/>
    <w:rsid w:val="247923A6"/>
    <w:rsid w:val="2482408A"/>
    <w:rsid w:val="24915DE6"/>
    <w:rsid w:val="24952391"/>
    <w:rsid w:val="24967284"/>
    <w:rsid w:val="249F3EE3"/>
    <w:rsid w:val="24A221EB"/>
    <w:rsid w:val="24A4042D"/>
    <w:rsid w:val="24B4024C"/>
    <w:rsid w:val="24B84316"/>
    <w:rsid w:val="24BE4D5C"/>
    <w:rsid w:val="24C16969"/>
    <w:rsid w:val="24C84772"/>
    <w:rsid w:val="24C94374"/>
    <w:rsid w:val="24D06CF2"/>
    <w:rsid w:val="24D460A8"/>
    <w:rsid w:val="24D52451"/>
    <w:rsid w:val="24D80201"/>
    <w:rsid w:val="24D8566C"/>
    <w:rsid w:val="24EC3B78"/>
    <w:rsid w:val="24F471BD"/>
    <w:rsid w:val="24FC01F0"/>
    <w:rsid w:val="251958FB"/>
    <w:rsid w:val="2524326C"/>
    <w:rsid w:val="253B090B"/>
    <w:rsid w:val="25467A6A"/>
    <w:rsid w:val="254D6D91"/>
    <w:rsid w:val="2556244F"/>
    <w:rsid w:val="25575A0D"/>
    <w:rsid w:val="256571E6"/>
    <w:rsid w:val="256A5217"/>
    <w:rsid w:val="257A56A1"/>
    <w:rsid w:val="257B0359"/>
    <w:rsid w:val="2581650E"/>
    <w:rsid w:val="259C3E27"/>
    <w:rsid w:val="25A434FE"/>
    <w:rsid w:val="25A612D4"/>
    <w:rsid w:val="25A76945"/>
    <w:rsid w:val="25AB1780"/>
    <w:rsid w:val="25AD2088"/>
    <w:rsid w:val="25B071DC"/>
    <w:rsid w:val="25B21673"/>
    <w:rsid w:val="25B34B3F"/>
    <w:rsid w:val="25B97A00"/>
    <w:rsid w:val="25BB0565"/>
    <w:rsid w:val="25BC078D"/>
    <w:rsid w:val="25CE3F53"/>
    <w:rsid w:val="25F67ADA"/>
    <w:rsid w:val="25F76A2E"/>
    <w:rsid w:val="25FF490E"/>
    <w:rsid w:val="26004D45"/>
    <w:rsid w:val="26045BA5"/>
    <w:rsid w:val="2608147E"/>
    <w:rsid w:val="2616589F"/>
    <w:rsid w:val="261B1965"/>
    <w:rsid w:val="261D5681"/>
    <w:rsid w:val="261E1EAF"/>
    <w:rsid w:val="2622515D"/>
    <w:rsid w:val="263006FF"/>
    <w:rsid w:val="2632779F"/>
    <w:rsid w:val="26343C0E"/>
    <w:rsid w:val="263F46CF"/>
    <w:rsid w:val="26447838"/>
    <w:rsid w:val="2648160D"/>
    <w:rsid w:val="264D54A2"/>
    <w:rsid w:val="26546311"/>
    <w:rsid w:val="2672473F"/>
    <w:rsid w:val="267628A6"/>
    <w:rsid w:val="267642F1"/>
    <w:rsid w:val="267E0CF9"/>
    <w:rsid w:val="26994EDC"/>
    <w:rsid w:val="26A154E9"/>
    <w:rsid w:val="26A250CF"/>
    <w:rsid w:val="26B600FB"/>
    <w:rsid w:val="26BC749F"/>
    <w:rsid w:val="26C65259"/>
    <w:rsid w:val="26CB5833"/>
    <w:rsid w:val="26D65B56"/>
    <w:rsid w:val="26DC3482"/>
    <w:rsid w:val="26E437BF"/>
    <w:rsid w:val="26E65B25"/>
    <w:rsid w:val="26E72ACC"/>
    <w:rsid w:val="26E84D2B"/>
    <w:rsid w:val="26E93D42"/>
    <w:rsid w:val="26EC063F"/>
    <w:rsid w:val="26FC62B1"/>
    <w:rsid w:val="27050675"/>
    <w:rsid w:val="27075637"/>
    <w:rsid w:val="2708144A"/>
    <w:rsid w:val="271040C1"/>
    <w:rsid w:val="27127E66"/>
    <w:rsid w:val="27195161"/>
    <w:rsid w:val="271C2021"/>
    <w:rsid w:val="27385D11"/>
    <w:rsid w:val="274E7CB5"/>
    <w:rsid w:val="274F1F02"/>
    <w:rsid w:val="274F4827"/>
    <w:rsid w:val="27512E91"/>
    <w:rsid w:val="27610BA0"/>
    <w:rsid w:val="27630444"/>
    <w:rsid w:val="276F21FD"/>
    <w:rsid w:val="27727E31"/>
    <w:rsid w:val="27762FBF"/>
    <w:rsid w:val="278A5388"/>
    <w:rsid w:val="278C5C0D"/>
    <w:rsid w:val="279244D2"/>
    <w:rsid w:val="279B2893"/>
    <w:rsid w:val="279B7BA8"/>
    <w:rsid w:val="27A209C9"/>
    <w:rsid w:val="27A30394"/>
    <w:rsid w:val="27A54E69"/>
    <w:rsid w:val="27A650A2"/>
    <w:rsid w:val="27AB6A48"/>
    <w:rsid w:val="27D36066"/>
    <w:rsid w:val="27D82D80"/>
    <w:rsid w:val="27D90366"/>
    <w:rsid w:val="27EC51D1"/>
    <w:rsid w:val="27F2052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8365C"/>
    <w:rsid w:val="28CD3212"/>
    <w:rsid w:val="28D215E5"/>
    <w:rsid w:val="28D23080"/>
    <w:rsid w:val="28D8743F"/>
    <w:rsid w:val="28E42754"/>
    <w:rsid w:val="28FA031C"/>
    <w:rsid w:val="28FB5098"/>
    <w:rsid w:val="28FC354A"/>
    <w:rsid w:val="290D6A87"/>
    <w:rsid w:val="290D6A89"/>
    <w:rsid w:val="291A7232"/>
    <w:rsid w:val="29206950"/>
    <w:rsid w:val="2923219A"/>
    <w:rsid w:val="29271D87"/>
    <w:rsid w:val="292C2CE7"/>
    <w:rsid w:val="2943618E"/>
    <w:rsid w:val="29442273"/>
    <w:rsid w:val="294D0EDE"/>
    <w:rsid w:val="2950307B"/>
    <w:rsid w:val="29524C95"/>
    <w:rsid w:val="29542371"/>
    <w:rsid w:val="295B4611"/>
    <w:rsid w:val="29605648"/>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56187"/>
    <w:rsid w:val="29F93DD5"/>
    <w:rsid w:val="2A0030F5"/>
    <w:rsid w:val="2A007F4D"/>
    <w:rsid w:val="2A0565D5"/>
    <w:rsid w:val="2A065CAC"/>
    <w:rsid w:val="2A075FF1"/>
    <w:rsid w:val="2A0A0D9A"/>
    <w:rsid w:val="2A0E7FF9"/>
    <w:rsid w:val="2A122F64"/>
    <w:rsid w:val="2A2342F0"/>
    <w:rsid w:val="2A25266A"/>
    <w:rsid w:val="2A2811FA"/>
    <w:rsid w:val="2A2C2886"/>
    <w:rsid w:val="2A344036"/>
    <w:rsid w:val="2A4552C3"/>
    <w:rsid w:val="2A5305C7"/>
    <w:rsid w:val="2A727492"/>
    <w:rsid w:val="2A7B6309"/>
    <w:rsid w:val="2A7E0F37"/>
    <w:rsid w:val="2A8559E6"/>
    <w:rsid w:val="2A8F6F3F"/>
    <w:rsid w:val="2A901C2B"/>
    <w:rsid w:val="2A9F3C29"/>
    <w:rsid w:val="2AAE6795"/>
    <w:rsid w:val="2AB32CF4"/>
    <w:rsid w:val="2AB91FEA"/>
    <w:rsid w:val="2AB9631C"/>
    <w:rsid w:val="2AE2161C"/>
    <w:rsid w:val="2AE9447E"/>
    <w:rsid w:val="2B016BBF"/>
    <w:rsid w:val="2B14781C"/>
    <w:rsid w:val="2B164C68"/>
    <w:rsid w:val="2B1D0329"/>
    <w:rsid w:val="2B1D7991"/>
    <w:rsid w:val="2B2D0EF2"/>
    <w:rsid w:val="2B365002"/>
    <w:rsid w:val="2B3B6E94"/>
    <w:rsid w:val="2B435E63"/>
    <w:rsid w:val="2B4469C1"/>
    <w:rsid w:val="2B4F5B82"/>
    <w:rsid w:val="2B570107"/>
    <w:rsid w:val="2B5833A9"/>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D771E"/>
    <w:rsid w:val="2C197811"/>
    <w:rsid w:val="2C1C20B2"/>
    <w:rsid w:val="2C225E33"/>
    <w:rsid w:val="2C25096E"/>
    <w:rsid w:val="2C2C398B"/>
    <w:rsid w:val="2C2E43F5"/>
    <w:rsid w:val="2C2E5B5A"/>
    <w:rsid w:val="2C3063A5"/>
    <w:rsid w:val="2C422201"/>
    <w:rsid w:val="2C4626FE"/>
    <w:rsid w:val="2C4C387B"/>
    <w:rsid w:val="2C543547"/>
    <w:rsid w:val="2C633505"/>
    <w:rsid w:val="2C764BB0"/>
    <w:rsid w:val="2C7E3C95"/>
    <w:rsid w:val="2C8E045B"/>
    <w:rsid w:val="2C9D2F6E"/>
    <w:rsid w:val="2CA028D8"/>
    <w:rsid w:val="2CB973C4"/>
    <w:rsid w:val="2CBE3E5B"/>
    <w:rsid w:val="2CBE5AD8"/>
    <w:rsid w:val="2CC327BE"/>
    <w:rsid w:val="2CCB06D5"/>
    <w:rsid w:val="2CD02F96"/>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A67CB"/>
    <w:rsid w:val="2DDC38A4"/>
    <w:rsid w:val="2DDD39D0"/>
    <w:rsid w:val="2DDD402A"/>
    <w:rsid w:val="2DE65CA4"/>
    <w:rsid w:val="2DE8380B"/>
    <w:rsid w:val="2DFE338A"/>
    <w:rsid w:val="2E115812"/>
    <w:rsid w:val="2E1E7826"/>
    <w:rsid w:val="2E317F3A"/>
    <w:rsid w:val="2E357B89"/>
    <w:rsid w:val="2E3C6A58"/>
    <w:rsid w:val="2E491A04"/>
    <w:rsid w:val="2E4A062B"/>
    <w:rsid w:val="2E4C2DB0"/>
    <w:rsid w:val="2E503A6F"/>
    <w:rsid w:val="2E65509F"/>
    <w:rsid w:val="2E6B4307"/>
    <w:rsid w:val="2E7569C8"/>
    <w:rsid w:val="2E757257"/>
    <w:rsid w:val="2E7F357E"/>
    <w:rsid w:val="2E887E60"/>
    <w:rsid w:val="2E8A51D9"/>
    <w:rsid w:val="2E8C7352"/>
    <w:rsid w:val="2E9F5560"/>
    <w:rsid w:val="2EA32FC7"/>
    <w:rsid w:val="2EC34F02"/>
    <w:rsid w:val="2EDD7BF4"/>
    <w:rsid w:val="2EE3269E"/>
    <w:rsid w:val="2EE50876"/>
    <w:rsid w:val="2EEB2D22"/>
    <w:rsid w:val="2EEB508A"/>
    <w:rsid w:val="2EF35C02"/>
    <w:rsid w:val="2EF37A30"/>
    <w:rsid w:val="2F0C22DF"/>
    <w:rsid w:val="2F0C6CC1"/>
    <w:rsid w:val="2F0F6299"/>
    <w:rsid w:val="2F1F5E73"/>
    <w:rsid w:val="2F297A0F"/>
    <w:rsid w:val="2F2D4335"/>
    <w:rsid w:val="2F351401"/>
    <w:rsid w:val="2F36517B"/>
    <w:rsid w:val="2F374462"/>
    <w:rsid w:val="2F3A0746"/>
    <w:rsid w:val="2F4157CA"/>
    <w:rsid w:val="2F5E236A"/>
    <w:rsid w:val="2F765818"/>
    <w:rsid w:val="2F7D6077"/>
    <w:rsid w:val="2F7E3CE2"/>
    <w:rsid w:val="2F890F26"/>
    <w:rsid w:val="2F892A83"/>
    <w:rsid w:val="2F914A98"/>
    <w:rsid w:val="2FB7592E"/>
    <w:rsid w:val="2FBB3CC4"/>
    <w:rsid w:val="2FBD7037"/>
    <w:rsid w:val="2FBF1818"/>
    <w:rsid w:val="2FBF5DAF"/>
    <w:rsid w:val="2FC76584"/>
    <w:rsid w:val="2FD067F9"/>
    <w:rsid w:val="2FD43C00"/>
    <w:rsid w:val="2FD75F88"/>
    <w:rsid w:val="2FDE7F5F"/>
    <w:rsid w:val="2FE30138"/>
    <w:rsid w:val="2FE93FB2"/>
    <w:rsid w:val="30067394"/>
    <w:rsid w:val="300866EE"/>
    <w:rsid w:val="30097368"/>
    <w:rsid w:val="300E2502"/>
    <w:rsid w:val="302225B6"/>
    <w:rsid w:val="30336BB7"/>
    <w:rsid w:val="303402FA"/>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95467"/>
    <w:rsid w:val="30BF7B47"/>
    <w:rsid w:val="30C107BB"/>
    <w:rsid w:val="30D40121"/>
    <w:rsid w:val="30DB0A08"/>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A67FFB"/>
    <w:rsid w:val="31B10FD7"/>
    <w:rsid w:val="31BC1074"/>
    <w:rsid w:val="31C07379"/>
    <w:rsid w:val="31CA37B5"/>
    <w:rsid w:val="31D74458"/>
    <w:rsid w:val="31D86C9C"/>
    <w:rsid w:val="31DD10CA"/>
    <w:rsid w:val="31DE4047"/>
    <w:rsid w:val="31E622F8"/>
    <w:rsid w:val="31E74B3F"/>
    <w:rsid w:val="31EB61D0"/>
    <w:rsid w:val="32045F7A"/>
    <w:rsid w:val="32154C9B"/>
    <w:rsid w:val="322879BE"/>
    <w:rsid w:val="32350D48"/>
    <w:rsid w:val="323C3CAE"/>
    <w:rsid w:val="323F2DBF"/>
    <w:rsid w:val="32457FC4"/>
    <w:rsid w:val="325A5918"/>
    <w:rsid w:val="325F7B08"/>
    <w:rsid w:val="326671D7"/>
    <w:rsid w:val="3267043F"/>
    <w:rsid w:val="3273555E"/>
    <w:rsid w:val="327E3E2B"/>
    <w:rsid w:val="32833846"/>
    <w:rsid w:val="328E1775"/>
    <w:rsid w:val="329C546E"/>
    <w:rsid w:val="32A900D9"/>
    <w:rsid w:val="32AB075E"/>
    <w:rsid w:val="32AB143F"/>
    <w:rsid w:val="32DD3D03"/>
    <w:rsid w:val="32DF6972"/>
    <w:rsid w:val="32E12C59"/>
    <w:rsid w:val="33145FBC"/>
    <w:rsid w:val="33222B35"/>
    <w:rsid w:val="332B40B2"/>
    <w:rsid w:val="332C690B"/>
    <w:rsid w:val="332D2637"/>
    <w:rsid w:val="33394A74"/>
    <w:rsid w:val="33430A64"/>
    <w:rsid w:val="335E6981"/>
    <w:rsid w:val="338334E0"/>
    <w:rsid w:val="339A067B"/>
    <w:rsid w:val="339A1840"/>
    <w:rsid w:val="33A51921"/>
    <w:rsid w:val="33A56B5C"/>
    <w:rsid w:val="33A6417A"/>
    <w:rsid w:val="33A94F4C"/>
    <w:rsid w:val="33AB6A2B"/>
    <w:rsid w:val="33C6558E"/>
    <w:rsid w:val="33C70CDA"/>
    <w:rsid w:val="33E633F0"/>
    <w:rsid w:val="33ED7D27"/>
    <w:rsid w:val="33F82A12"/>
    <w:rsid w:val="33FB3647"/>
    <w:rsid w:val="34087F11"/>
    <w:rsid w:val="34181C8D"/>
    <w:rsid w:val="34255290"/>
    <w:rsid w:val="34304091"/>
    <w:rsid w:val="34486194"/>
    <w:rsid w:val="344F34FB"/>
    <w:rsid w:val="34550914"/>
    <w:rsid w:val="34555A90"/>
    <w:rsid w:val="346933EF"/>
    <w:rsid w:val="346C6F59"/>
    <w:rsid w:val="34706CD0"/>
    <w:rsid w:val="34881304"/>
    <w:rsid w:val="34A32499"/>
    <w:rsid w:val="34BF2F19"/>
    <w:rsid w:val="34C208C3"/>
    <w:rsid w:val="34D32F61"/>
    <w:rsid w:val="34E22D79"/>
    <w:rsid w:val="34E4672C"/>
    <w:rsid w:val="34E478F6"/>
    <w:rsid w:val="34F25A3D"/>
    <w:rsid w:val="34F65429"/>
    <w:rsid w:val="350A0037"/>
    <w:rsid w:val="351D347B"/>
    <w:rsid w:val="35236E85"/>
    <w:rsid w:val="35316ADD"/>
    <w:rsid w:val="353640EF"/>
    <w:rsid w:val="353F2148"/>
    <w:rsid w:val="35430C24"/>
    <w:rsid w:val="35440D49"/>
    <w:rsid w:val="354A2942"/>
    <w:rsid w:val="354A3EEE"/>
    <w:rsid w:val="355231BE"/>
    <w:rsid w:val="35545073"/>
    <w:rsid w:val="35673C78"/>
    <w:rsid w:val="356C3AF7"/>
    <w:rsid w:val="356D2A92"/>
    <w:rsid w:val="356E0822"/>
    <w:rsid w:val="356F70BE"/>
    <w:rsid w:val="35796219"/>
    <w:rsid w:val="357E4924"/>
    <w:rsid w:val="35884BC3"/>
    <w:rsid w:val="359B02ED"/>
    <w:rsid w:val="35A9795A"/>
    <w:rsid w:val="35AC2418"/>
    <w:rsid w:val="35B757CB"/>
    <w:rsid w:val="35C21836"/>
    <w:rsid w:val="35D903C5"/>
    <w:rsid w:val="35D97CAC"/>
    <w:rsid w:val="35E30C82"/>
    <w:rsid w:val="35ED704B"/>
    <w:rsid w:val="35F11141"/>
    <w:rsid w:val="36042ECA"/>
    <w:rsid w:val="36060737"/>
    <w:rsid w:val="36077B54"/>
    <w:rsid w:val="361C5974"/>
    <w:rsid w:val="36207AC5"/>
    <w:rsid w:val="36272C9D"/>
    <w:rsid w:val="362B29F8"/>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94005"/>
    <w:rsid w:val="36AB695D"/>
    <w:rsid w:val="36B22E6E"/>
    <w:rsid w:val="36B857E4"/>
    <w:rsid w:val="36BC4C4E"/>
    <w:rsid w:val="36C60C21"/>
    <w:rsid w:val="36C942C1"/>
    <w:rsid w:val="36D92F69"/>
    <w:rsid w:val="36E12AF9"/>
    <w:rsid w:val="36E25431"/>
    <w:rsid w:val="36E531DA"/>
    <w:rsid w:val="36E57B09"/>
    <w:rsid w:val="3724157D"/>
    <w:rsid w:val="3734642A"/>
    <w:rsid w:val="37356D35"/>
    <w:rsid w:val="373E4A93"/>
    <w:rsid w:val="37493A61"/>
    <w:rsid w:val="37575408"/>
    <w:rsid w:val="37596AF9"/>
    <w:rsid w:val="37632F89"/>
    <w:rsid w:val="37645D5E"/>
    <w:rsid w:val="377045A5"/>
    <w:rsid w:val="37737C8C"/>
    <w:rsid w:val="377644C8"/>
    <w:rsid w:val="377A2FE2"/>
    <w:rsid w:val="379716F7"/>
    <w:rsid w:val="379876F3"/>
    <w:rsid w:val="379F49D5"/>
    <w:rsid w:val="37A32FBF"/>
    <w:rsid w:val="37A64CDE"/>
    <w:rsid w:val="37AD17D5"/>
    <w:rsid w:val="37B4396B"/>
    <w:rsid w:val="37B8715D"/>
    <w:rsid w:val="37BA328B"/>
    <w:rsid w:val="37BF2ED1"/>
    <w:rsid w:val="37D27ED7"/>
    <w:rsid w:val="37E11E05"/>
    <w:rsid w:val="37E33CA6"/>
    <w:rsid w:val="37E85E95"/>
    <w:rsid w:val="37EC5862"/>
    <w:rsid w:val="37F45447"/>
    <w:rsid w:val="37F747D6"/>
    <w:rsid w:val="37FD3E8B"/>
    <w:rsid w:val="380B5098"/>
    <w:rsid w:val="380D685F"/>
    <w:rsid w:val="38186634"/>
    <w:rsid w:val="38186965"/>
    <w:rsid w:val="381E48A0"/>
    <w:rsid w:val="3820363A"/>
    <w:rsid w:val="38281018"/>
    <w:rsid w:val="382D20F9"/>
    <w:rsid w:val="382E0700"/>
    <w:rsid w:val="385C1CFE"/>
    <w:rsid w:val="385F02D5"/>
    <w:rsid w:val="3867258C"/>
    <w:rsid w:val="38731364"/>
    <w:rsid w:val="387A4397"/>
    <w:rsid w:val="387D3ED4"/>
    <w:rsid w:val="38831870"/>
    <w:rsid w:val="38837174"/>
    <w:rsid w:val="388F5960"/>
    <w:rsid w:val="38A15C6B"/>
    <w:rsid w:val="38AA37B9"/>
    <w:rsid w:val="38B66C61"/>
    <w:rsid w:val="38BA23E6"/>
    <w:rsid w:val="38C37C42"/>
    <w:rsid w:val="38CE6D0B"/>
    <w:rsid w:val="38D12C91"/>
    <w:rsid w:val="38DA5BE2"/>
    <w:rsid w:val="38E349E7"/>
    <w:rsid w:val="38EA7903"/>
    <w:rsid w:val="38F048BA"/>
    <w:rsid w:val="38F73FA5"/>
    <w:rsid w:val="38F90A7D"/>
    <w:rsid w:val="39012407"/>
    <w:rsid w:val="390F5638"/>
    <w:rsid w:val="390F6BF8"/>
    <w:rsid w:val="391136F4"/>
    <w:rsid w:val="392326BF"/>
    <w:rsid w:val="39377433"/>
    <w:rsid w:val="394443D5"/>
    <w:rsid w:val="3948157E"/>
    <w:rsid w:val="395512DE"/>
    <w:rsid w:val="395555D4"/>
    <w:rsid w:val="395B3B87"/>
    <w:rsid w:val="395E51BC"/>
    <w:rsid w:val="396122F5"/>
    <w:rsid w:val="396167D3"/>
    <w:rsid w:val="39623434"/>
    <w:rsid w:val="397357E1"/>
    <w:rsid w:val="3974291A"/>
    <w:rsid w:val="397B54A2"/>
    <w:rsid w:val="397C3D6C"/>
    <w:rsid w:val="398C51A8"/>
    <w:rsid w:val="398F3288"/>
    <w:rsid w:val="39902E32"/>
    <w:rsid w:val="399079E5"/>
    <w:rsid w:val="39B841B3"/>
    <w:rsid w:val="39CA0C6B"/>
    <w:rsid w:val="39CC5D52"/>
    <w:rsid w:val="39CE22D2"/>
    <w:rsid w:val="39D82886"/>
    <w:rsid w:val="39DD0211"/>
    <w:rsid w:val="39DD5C82"/>
    <w:rsid w:val="39E0408B"/>
    <w:rsid w:val="39E201AD"/>
    <w:rsid w:val="39FD052B"/>
    <w:rsid w:val="39FD7296"/>
    <w:rsid w:val="3A1717A2"/>
    <w:rsid w:val="3A2C0D88"/>
    <w:rsid w:val="3A5B03D7"/>
    <w:rsid w:val="3A662076"/>
    <w:rsid w:val="3A7663FB"/>
    <w:rsid w:val="3A7E0E22"/>
    <w:rsid w:val="3A7F6F62"/>
    <w:rsid w:val="3A8920E3"/>
    <w:rsid w:val="3A8A6F26"/>
    <w:rsid w:val="3A8B18ED"/>
    <w:rsid w:val="3AB40EBA"/>
    <w:rsid w:val="3AB41012"/>
    <w:rsid w:val="3ABF0340"/>
    <w:rsid w:val="3AC058C7"/>
    <w:rsid w:val="3AC47EC3"/>
    <w:rsid w:val="3ACA05E3"/>
    <w:rsid w:val="3ACE2164"/>
    <w:rsid w:val="3ACF19A3"/>
    <w:rsid w:val="3B066C9A"/>
    <w:rsid w:val="3B1B31C9"/>
    <w:rsid w:val="3B241F8D"/>
    <w:rsid w:val="3B2457DA"/>
    <w:rsid w:val="3B2957E3"/>
    <w:rsid w:val="3B2E0C51"/>
    <w:rsid w:val="3B333DDD"/>
    <w:rsid w:val="3B385567"/>
    <w:rsid w:val="3B3D0E85"/>
    <w:rsid w:val="3B3F12DA"/>
    <w:rsid w:val="3B403B20"/>
    <w:rsid w:val="3B434D6B"/>
    <w:rsid w:val="3B4469DE"/>
    <w:rsid w:val="3B496C1B"/>
    <w:rsid w:val="3B4A32D5"/>
    <w:rsid w:val="3B514A99"/>
    <w:rsid w:val="3B5261C9"/>
    <w:rsid w:val="3B674CA9"/>
    <w:rsid w:val="3B68169C"/>
    <w:rsid w:val="3B8319A0"/>
    <w:rsid w:val="3B961032"/>
    <w:rsid w:val="3BA17842"/>
    <w:rsid w:val="3BA411C8"/>
    <w:rsid w:val="3BA7014B"/>
    <w:rsid w:val="3BAF2423"/>
    <w:rsid w:val="3BB13F7E"/>
    <w:rsid w:val="3BBC230F"/>
    <w:rsid w:val="3BC16E6C"/>
    <w:rsid w:val="3BC83523"/>
    <w:rsid w:val="3BC86522"/>
    <w:rsid w:val="3BE32424"/>
    <w:rsid w:val="3BEF0F0F"/>
    <w:rsid w:val="3BEF707C"/>
    <w:rsid w:val="3BF3295B"/>
    <w:rsid w:val="3C213FA8"/>
    <w:rsid w:val="3C227775"/>
    <w:rsid w:val="3C2735D4"/>
    <w:rsid w:val="3C2A6480"/>
    <w:rsid w:val="3C2B327D"/>
    <w:rsid w:val="3C2F0B9F"/>
    <w:rsid w:val="3C305D6E"/>
    <w:rsid w:val="3C382266"/>
    <w:rsid w:val="3C391DD4"/>
    <w:rsid w:val="3C463576"/>
    <w:rsid w:val="3C472A0E"/>
    <w:rsid w:val="3C5E23E6"/>
    <w:rsid w:val="3C6436EA"/>
    <w:rsid w:val="3C657A3E"/>
    <w:rsid w:val="3C6727DF"/>
    <w:rsid w:val="3C6E6FCF"/>
    <w:rsid w:val="3C8D4BE6"/>
    <w:rsid w:val="3CA02607"/>
    <w:rsid w:val="3CAB7D63"/>
    <w:rsid w:val="3CC527C1"/>
    <w:rsid w:val="3CCA0754"/>
    <w:rsid w:val="3CDA0620"/>
    <w:rsid w:val="3CE04B7A"/>
    <w:rsid w:val="3CE3763E"/>
    <w:rsid w:val="3CEA37D7"/>
    <w:rsid w:val="3CF71419"/>
    <w:rsid w:val="3CFA508D"/>
    <w:rsid w:val="3D170712"/>
    <w:rsid w:val="3D1721C0"/>
    <w:rsid w:val="3D227735"/>
    <w:rsid w:val="3D28077F"/>
    <w:rsid w:val="3D382B00"/>
    <w:rsid w:val="3D5620B0"/>
    <w:rsid w:val="3D573277"/>
    <w:rsid w:val="3D6D6539"/>
    <w:rsid w:val="3D7E29F6"/>
    <w:rsid w:val="3DA2705B"/>
    <w:rsid w:val="3DA53539"/>
    <w:rsid w:val="3DA861EC"/>
    <w:rsid w:val="3DB0458E"/>
    <w:rsid w:val="3DB35694"/>
    <w:rsid w:val="3DB43634"/>
    <w:rsid w:val="3DB71B33"/>
    <w:rsid w:val="3DB911D4"/>
    <w:rsid w:val="3DCA4D98"/>
    <w:rsid w:val="3DDB632B"/>
    <w:rsid w:val="3DDF227B"/>
    <w:rsid w:val="3DE577D0"/>
    <w:rsid w:val="3DE9500F"/>
    <w:rsid w:val="3DFE29BC"/>
    <w:rsid w:val="3E0A013E"/>
    <w:rsid w:val="3E103D97"/>
    <w:rsid w:val="3E13386A"/>
    <w:rsid w:val="3E1F48B5"/>
    <w:rsid w:val="3E2829A8"/>
    <w:rsid w:val="3E284CAD"/>
    <w:rsid w:val="3E3D6BE8"/>
    <w:rsid w:val="3E4D5AA5"/>
    <w:rsid w:val="3E4F4D95"/>
    <w:rsid w:val="3E5C1C0B"/>
    <w:rsid w:val="3E605D7B"/>
    <w:rsid w:val="3E613884"/>
    <w:rsid w:val="3E640B33"/>
    <w:rsid w:val="3E671F5B"/>
    <w:rsid w:val="3E680161"/>
    <w:rsid w:val="3E696B7E"/>
    <w:rsid w:val="3E6B55A3"/>
    <w:rsid w:val="3E707498"/>
    <w:rsid w:val="3E71368D"/>
    <w:rsid w:val="3E7567DF"/>
    <w:rsid w:val="3E782FDC"/>
    <w:rsid w:val="3E7B0AF2"/>
    <w:rsid w:val="3E8F178D"/>
    <w:rsid w:val="3E906406"/>
    <w:rsid w:val="3E91532E"/>
    <w:rsid w:val="3E9970E7"/>
    <w:rsid w:val="3E9B631A"/>
    <w:rsid w:val="3EA4146C"/>
    <w:rsid w:val="3EAC495E"/>
    <w:rsid w:val="3EAD1CD6"/>
    <w:rsid w:val="3EAD648A"/>
    <w:rsid w:val="3EBB4AEE"/>
    <w:rsid w:val="3EC33289"/>
    <w:rsid w:val="3EC97967"/>
    <w:rsid w:val="3ECA0657"/>
    <w:rsid w:val="3ECC0FDD"/>
    <w:rsid w:val="3ECE06BD"/>
    <w:rsid w:val="3ECF6094"/>
    <w:rsid w:val="3EDE6D1E"/>
    <w:rsid w:val="3EE55C57"/>
    <w:rsid w:val="3F036EB6"/>
    <w:rsid w:val="3F050B2F"/>
    <w:rsid w:val="3F2269B3"/>
    <w:rsid w:val="3F236909"/>
    <w:rsid w:val="3F316D95"/>
    <w:rsid w:val="3F3D6303"/>
    <w:rsid w:val="3F3E75F0"/>
    <w:rsid w:val="3F5453E8"/>
    <w:rsid w:val="3F572AFA"/>
    <w:rsid w:val="3F5A7FC0"/>
    <w:rsid w:val="3F5C181C"/>
    <w:rsid w:val="3F634BD5"/>
    <w:rsid w:val="3F6B59AE"/>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66620A"/>
    <w:rsid w:val="40697695"/>
    <w:rsid w:val="406978DD"/>
    <w:rsid w:val="406B5E40"/>
    <w:rsid w:val="40741E03"/>
    <w:rsid w:val="40821699"/>
    <w:rsid w:val="408E7728"/>
    <w:rsid w:val="40922062"/>
    <w:rsid w:val="409C6247"/>
    <w:rsid w:val="40B969ED"/>
    <w:rsid w:val="40D14E28"/>
    <w:rsid w:val="40E32783"/>
    <w:rsid w:val="40EB65DD"/>
    <w:rsid w:val="40EF658B"/>
    <w:rsid w:val="40F20AB7"/>
    <w:rsid w:val="40FF651D"/>
    <w:rsid w:val="41155C7D"/>
    <w:rsid w:val="411D2572"/>
    <w:rsid w:val="411F3F16"/>
    <w:rsid w:val="41220CE1"/>
    <w:rsid w:val="41307274"/>
    <w:rsid w:val="41313857"/>
    <w:rsid w:val="413C0683"/>
    <w:rsid w:val="41401527"/>
    <w:rsid w:val="4149513D"/>
    <w:rsid w:val="414C289C"/>
    <w:rsid w:val="41556A1E"/>
    <w:rsid w:val="4162705B"/>
    <w:rsid w:val="41684027"/>
    <w:rsid w:val="41756B8B"/>
    <w:rsid w:val="41846666"/>
    <w:rsid w:val="418F5CEE"/>
    <w:rsid w:val="41956FC3"/>
    <w:rsid w:val="419D59DD"/>
    <w:rsid w:val="419F2EA3"/>
    <w:rsid w:val="41A55979"/>
    <w:rsid w:val="41AF5D96"/>
    <w:rsid w:val="41B27A98"/>
    <w:rsid w:val="41B34155"/>
    <w:rsid w:val="41B80FEA"/>
    <w:rsid w:val="41BB789D"/>
    <w:rsid w:val="41CB2E95"/>
    <w:rsid w:val="41CE5D6F"/>
    <w:rsid w:val="41CE5E80"/>
    <w:rsid w:val="41D47CA6"/>
    <w:rsid w:val="41D9224B"/>
    <w:rsid w:val="41D92E2A"/>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A53E36"/>
    <w:rsid w:val="42B545E4"/>
    <w:rsid w:val="42C53FC1"/>
    <w:rsid w:val="42D24020"/>
    <w:rsid w:val="42DC3FE9"/>
    <w:rsid w:val="42F36C4D"/>
    <w:rsid w:val="42F75C15"/>
    <w:rsid w:val="430742C8"/>
    <w:rsid w:val="435278F3"/>
    <w:rsid w:val="43652ADE"/>
    <w:rsid w:val="4367719E"/>
    <w:rsid w:val="436B02D7"/>
    <w:rsid w:val="436F2539"/>
    <w:rsid w:val="437602C4"/>
    <w:rsid w:val="43796616"/>
    <w:rsid w:val="43A655CA"/>
    <w:rsid w:val="43AB3053"/>
    <w:rsid w:val="43AF6312"/>
    <w:rsid w:val="43B20353"/>
    <w:rsid w:val="43B60B7C"/>
    <w:rsid w:val="43BB792D"/>
    <w:rsid w:val="43C912ED"/>
    <w:rsid w:val="43D057F1"/>
    <w:rsid w:val="43D1414A"/>
    <w:rsid w:val="43D26B6F"/>
    <w:rsid w:val="43D30430"/>
    <w:rsid w:val="43D63B3A"/>
    <w:rsid w:val="43D67E4D"/>
    <w:rsid w:val="43DD67D9"/>
    <w:rsid w:val="43DF56DB"/>
    <w:rsid w:val="43E21A42"/>
    <w:rsid w:val="43F61EFF"/>
    <w:rsid w:val="43F6705C"/>
    <w:rsid w:val="43FB7B69"/>
    <w:rsid w:val="44053304"/>
    <w:rsid w:val="44082E5E"/>
    <w:rsid w:val="440C0538"/>
    <w:rsid w:val="440C56F0"/>
    <w:rsid w:val="440E0A54"/>
    <w:rsid w:val="44141688"/>
    <w:rsid w:val="44175663"/>
    <w:rsid w:val="442A3260"/>
    <w:rsid w:val="443A68E8"/>
    <w:rsid w:val="443E627D"/>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70EFD"/>
    <w:rsid w:val="44DB79B8"/>
    <w:rsid w:val="44DE66C3"/>
    <w:rsid w:val="44EF65A4"/>
    <w:rsid w:val="450353C6"/>
    <w:rsid w:val="4509333F"/>
    <w:rsid w:val="45116BFC"/>
    <w:rsid w:val="451A4682"/>
    <w:rsid w:val="45273624"/>
    <w:rsid w:val="452A7E19"/>
    <w:rsid w:val="4535604E"/>
    <w:rsid w:val="453E7B2C"/>
    <w:rsid w:val="45534F41"/>
    <w:rsid w:val="45610A71"/>
    <w:rsid w:val="45783A8C"/>
    <w:rsid w:val="458D1EE2"/>
    <w:rsid w:val="45975583"/>
    <w:rsid w:val="45A23E4F"/>
    <w:rsid w:val="45A864FE"/>
    <w:rsid w:val="45BA2A70"/>
    <w:rsid w:val="45C110D3"/>
    <w:rsid w:val="45D04FEF"/>
    <w:rsid w:val="45D33485"/>
    <w:rsid w:val="45EE5900"/>
    <w:rsid w:val="46092E53"/>
    <w:rsid w:val="462214B8"/>
    <w:rsid w:val="462D5FEF"/>
    <w:rsid w:val="46423B27"/>
    <w:rsid w:val="46427C53"/>
    <w:rsid w:val="464B0531"/>
    <w:rsid w:val="464C3A05"/>
    <w:rsid w:val="46511E10"/>
    <w:rsid w:val="46550474"/>
    <w:rsid w:val="46567739"/>
    <w:rsid w:val="465E3098"/>
    <w:rsid w:val="46623D1B"/>
    <w:rsid w:val="46672F35"/>
    <w:rsid w:val="466C3BF2"/>
    <w:rsid w:val="466D4269"/>
    <w:rsid w:val="46753A27"/>
    <w:rsid w:val="468B615B"/>
    <w:rsid w:val="46943FE6"/>
    <w:rsid w:val="469C5366"/>
    <w:rsid w:val="46BE554E"/>
    <w:rsid w:val="46C45D65"/>
    <w:rsid w:val="46D07416"/>
    <w:rsid w:val="46D22372"/>
    <w:rsid w:val="46E4537F"/>
    <w:rsid w:val="46E74CC0"/>
    <w:rsid w:val="46F10BCE"/>
    <w:rsid w:val="46F24A9C"/>
    <w:rsid w:val="470D0168"/>
    <w:rsid w:val="470D4174"/>
    <w:rsid w:val="47221EC0"/>
    <w:rsid w:val="472A79E0"/>
    <w:rsid w:val="472C105B"/>
    <w:rsid w:val="4736137F"/>
    <w:rsid w:val="473769F4"/>
    <w:rsid w:val="473D5031"/>
    <w:rsid w:val="47436F93"/>
    <w:rsid w:val="47497CED"/>
    <w:rsid w:val="474E3CA6"/>
    <w:rsid w:val="474F2EE8"/>
    <w:rsid w:val="47585BA0"/>
    <w:rsid w:val="475A1D2F"/>
    <w:rsid w:val="475A7944"/>
    <w:rsid w:val="476436A4"/>
    <w:rsid w:val="47823144"/>
    <w:rsid w:val="478F23A2"/>
    <w:rsid w:val="479876C5"/>
    <w:rsid w:val="47A2298A"/>
    <w:rsid w:val="47C30CFF"/>
    <w:rsid w:val="47CE6EE6"/>
    <w:rsid w:val="47D538BF"/>
    <w:rsid w:val="47EC3BCC"/>
    <w:rsid w:val="47EF48E2"/>
    <w:rsid w:val="480107DA"/>
    <w:rsid w:val="48056817"/>
    <w:rsid w:val="48071009"/>
    <w:rsid w:val="48160910"/>
    <w:rsid w:val="481D2E0A"/>
    <w:rsid w:val="482917DE"/>
    <w:rsid w:val="48314497"/>
    <w:rsid w:val="48454B43"/>
    <w:rsid w:val="484E2F53"/>
    <w:rsid w:val="484E459F"/>
    <w:rsid w:val="485174E3"/>
    <w:rsid w:val="485C3A09"/>
    <w:rsid w:val="486E0331"/>
    <w:rsid w:val="4873740A"/>
    <w:rsid w:val="4877279F"/>
    <w:rsid w:val="48832C3B"/>
    <w:rsid w:val="489176F0"/>
    <w:rsid w:val="48A01DC6"/>
    <w:rsid w:val="48AE7B29"/>
    <w:rsid w:val="48B34240"/>
    <w:rsid w:val="48C85917"/>
    <w:rsid w:val="48D05068"/>
    <w:rsid w:val="48D72399"/>
    <w:rsid w:val="48D926AD"/>
    <w:rsid w:val="48DC03DD"/>
    <w:rsid w:val="48F22A8B"/>
    <w:rsid w:val="48F2474B"/>
    <w:rsid w:val="4900376F"/>
    <w:rsid w:val="49046090"/>
    <w:rsid w:val="490578A2"/>
    <w:rsid w:val="4924152D"/>
    <w:rsid w:val="4924574C"/>
    <w:rsid w:val="492B380B"/>
    <w:rsid w:val="49306605"/>
    <w:rsid w:val="4932429E"/>
    <w:rsid w:val="493317E9"/>
    <w:rsid w:val="4933521B"/>
    <w:rsid w:val="49344B77"/>
    <w:rsid w:val="493811F1"/>
    <w:rsid w:val="4940531D"/>
    <w:rsid w:val="494A50B2"/>
    <w:rsid w:val="49515037"/>
    <w:rsid w:val="495441DE"/>
    <w:rsid w:val="49590D13"/>
    <w:rsid w:val="496603CB"/>
    <w:rsid w:val="49722813"/>
    <w:rsid w:val="49727215"/>
    <w:rsid w:val="49752438"/>
    <w:rsid w:val="497E3FC3"/>
    <w:rsid w:val="497F4D95"/>
    <w:rsid w:val="49825179"/>
    <w:rsid w:val="49827172"/>
    <w:rsid w:val="49857B3C"/>
    <w:rsid w:val="49875839"/>
    <w:rsid w:val="49891345"/>
    <w:rsid w:val="498F3090"/>
    <w:rsid w:val="499049E3"/>
    <w:rsid w:val="49A30128"/>
    <w:rsid w:val="49B01BAE"/>
    <w:rsid w:val="49B54250"/>
    <w:rsid w:val="49B61DD3"/>
    <w:rsid w:val="49B749A4"/>
    <w:rsid w:val="49B8517B"/>
    <w:rsid w:val="49B854B2"/>
    <w:rsid w:val="49C2169A"/>
    <w:rsid w:val="49C41D97"/>
    <w:rsid w:val="49C42A10"/>
    <w:rsid w:val="49C76AA2"/>
    <w:rsid w:val="49CD79A4"/>
    <w:rsid w:val="49DF3699"/>
    <w:rsid w:val="49EB61F2"/>
    <w:rsid w:val="49EC674C"/>
    <w:rsid w:val="49EC7055"/>
    <w:rsid w:val="49EF5898"/>
    <w:rsid w:val="49F47F64"/>
    <w:rsid w:val="49FD7E22"/>
    <w:rsid w:val="4A0E2BA8"/>
    <w:rsid w:val="4A0E2C84"/>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242BC"/>
    <w:rsid w:val="4A6514DB"/>
    <w:rsid w:val="4A664A90"/>
    <w:rsid w:val="4A80341B"/>
    <w:rsid w:val="4A811C9F"/>
    <w:rsid w:val="4A816144"/>
    <w:rsid w:val="4A86390E"/>
    <w:rsid w:val="4A8A1046"/>
    <w:rsid w:val="4A98092D"/>
    <w:rsid w:val="4A9B3DA6"/>
    <w:rsid w:val="4AAB13E0"/>
    <w:rsid w:val="4AB604A6"/>
    <w:rsid w:val="4AD32458"/>
    <w:rsid w:val="4AD75D13"/>
    <w:rsid w:val="4AD93DBB"/>
    <w:rsid w:val="4AE67BDD"/>
    <w:rsid w:val="4AEF3541"/>
    <w:rsid w:val="4AEF4782"/>
    <w:rsid w:val="4AF41A83"/>
    <w:rsid w:val="4AF64EB3"/>
    <w:rsid w:val="4AF854A5"/>
    <w:rsid w:val="4AFE02EB"/>
    <w:rsid w:val="4B0B061E"/>
    <w:rsid w:val="4B116C3A"/>
    <w:rsid w:val="4B1A31D2"/>
    <w:rsid w:val="4B1F2755"/>
    <w:rsid w:val="4B21349F"/>
    <w:rsid w:val="4B2947A3"/>
    <w:rsid w:val="4B2A6963"/>
    <w:rsid w:val="4B424673"/>
    <w:rsid w:val="4B43687B"/>
    <w:rsid w:val="4B4C4C91"/>
    <w:rsid w:val="4B4F585E"/>
    <w:rsid w:val="4B5066D3"/>
    <w:rsid w:val="4B556C18"/>
    <w:rsid w:val="4B5B00CB"/>
    <w:rsid w:val="4B5C2A02"/>
    <w:rsid w:val="4B5D1505"/>
    <w:rsid w:val="4B5D2F0E"/>
    <w:rsid w:val="4B670EEB"/>
    <w:rsid w:val="4B700715"/>
    <w:rsid w:val="4B7837FE"/>
    <w:rsid w:val="4B842536"/>
    <w:rsid w:val="4B857330"/>
    <w:rsid w:val="4B8D6483"/>
    <w:rsid w:val="4B9426D6"/>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81290"/>
    <w:rsid w:val="4C4A5877"/>
    <w:rsid w:val="4C4C2ECA"/>
    <w:rsid w:val="4C5114DD"/>
    <w:rsid w:val="4C5B4E2F"/>
    <w:rsid w:val="4C64188F"/>
    <w:rsid w:val="4C675562"/>
    <w:rsid w:val="4C6B203A"/>
    <w:rsid w:val="4C6B7D09"/>
    <w:rsid w:val="4CB35E71"/>
    <w:rsid w:val="4CB94893"/>
    <w:rsid w:val="4CD40156"/>
    <w:rsid w:val="4CD97F00"/>
    <w:rsid w:val="4CE507BB"/>
    <w:rsid w:val="4CE84B1E"/>
    <w:rsid w:val="4CF84925"/>
    <w:rsid w:val="4CFB7174"/>
    <w:rsid w:val="4D0541DC"/>
    <w:rsid w:val="4D0553D3"/>
    <w:rsid w:val="4D0828E9"/>
    <w:rsid w:val="4D083099"/>
    <w:rsid w:val="4D08524C"/>
    <w:rsid w:val="4D1413B4"/>
    <w:rsid w:val="4D17385C"/>
    <w:rsid w:val="4D433305"/>
    <w:rsid w:val="4D4B4412"/>
    <w:rsid w:val="4D503413"/>
    <w:rsid w:val="4D6A54AB"/>
    <w:rsid w:val="4D813B05"/>
    <w:rsid w:val="4D815267"/>
    <w:rsid w:val="4D8C0894"/>
    <w:rsid w:val="4D8F1DE7"/>
    <w:rsid w:val="4D9D0D26"/>
    <w:rsid w:val="4DA20DFB"/>
    <w:rsid w:val="4DAD5859"/>
    <w:rsid w:val="4DB85C63"/>
    <w:rsid w:val="4DB9274D"/>
    <w:rsid w:val="4DC33C1E"/>
    <w:rsid w:val="4DCA0A14"/>
    <w:rsid w:val="4DDD35FC"/>
    <w:rsid w:val="4DE15ABD"/>
    <w:rsid w:val="4DE91693"/>
    <w:rsid w:val="4DEE3FB3"/>
    <w:rsid w:val="4DF20E52"/>
    <w:rsid w:val="4DF52C1C"/>
    <w:rsid w:val="4DFE09DF"/>
    <w:rsid w:val="4DFF3390"/>
    <w:rsid w:val="4E0144FA"/>
    <w:rsid w:val="4E055215"/>
    <w:rsid w:val="4E0A289D"/>
    <w:rsid w:val="4E0B0488"/>
    <w:rsid w:val="4E10399C"/>
    <w:rsid w:val="4E1103A0"/>
    <w:rsid w:val="4E2D7F67"/>
    <w:rsid w:val="4E3C53C0"/>
    <w:rsid w:val="4E444909"/>
    <w:rsid w:val="4E4C191C"/>
    <w:rsid w:val="4E604970"/>
    <w:rsid w:val="4E691FCA"/>
    <w:rsid w:val="4E70427F"/>
    <w:rsid w:val="4E7B161E"/>
    <w:rsid w:val="4E7D1929"/>
    <w:rsid w:val="4E8C412A"/>
    <w:rsid w:val="4E9F52CA"/>
    <w:rsid w:val="4EB44996"/>
    <w:rsid w:val="4EBA01BB"/>
    <w:rsid w:val="4EC1374B"/>
    <w:rsid w:val="4ECD2946"/>
    <w:rsid w:val="4ED147C1"/>
    <w:rsid w:val="4ED374D0"/>
    <w:rsid w:val="4EE27D7A"/>
    <w:rsid w:val="4EED6AB4"/>
    <w:rsid w:val="4EEE4967"/>
    <w:rsid w:val="4EFF10AB"/>
    <w:rsid w:val="4F0711B8"/>
    <w:rsid w:val="4F0D1F32"/>
    <w:rsid w:val="4F105E49"/>
    <w:rsid w:val="4F32541F"/>
    <w:rsid w:val="4F3A6287"/>
    <w:rsid w:val="4F3B2C0D"/>
    <w:rsid w:val="4F3F0431"/>
    <w:rsid w:val="4F404EE0"/>
    <w:rsid w:val="4F414A9A"/>
    <w:rsid w:val="4F503EC3"/>
    <w:rsid w:val="4F5F5AC3"/>
    <w:rsid w:val="4F65431D"/>
    <w:rsid w:val="4F83000A"/>
    <w:rsid w:val="4F9B16D6"/>
    <w:rsid w:val="4FA856E5"/>
    <w:rsid w:val="4FB01DB0"/>
    <w:rsid w:val="4FC44ABC"/>
    <w:rsid w:val="4FD33681"/>
    <w:rsid w:val="4FDD4119"/>
    <w:rsid w:val="4FDF5DEF"/>
    <w:rsid w:val="4FE06B2A"/>
    <w:rsid w:val="4FE859C5"/>
    <w:rsid w:val="4FEC47F8"/>
    <w:rsid w:val="501244E2"/>
    <w:rsid w:val="502D57C0"/>
    <w:rsid w:val="503451F3"/>
    <w:rsid w:val="50397B2D"/>
    <w:rsid w:val="50440A06"/>
    <w:rsid w:val="505644F6"/>
    <w:rsid w:val="50785C87"/>
    <w:rsid w:val="508250F6"/>
    <w:rsid w:val="50963EF0"/>
    <w:rsid w:val="509E3987"/>
    <w:rsid w:val="50A06EBA"/>
    <w:rsid w:val="50B93817"/>
    <w:rsid w:val="50BE405E"/>
    <w:rsid w:val="50C75459"/>
    <w:rsid w:val="50D16BC1"/>
    <w:rsid w:val="50D343A2"/>
    <w:rsid w:val="50D77449"/>
    <w:rsid w:val="510A147E"/>
    <w:rsid w:val="51123DFB"/>
    <w:rsid w:val="51150696"/>
    <w:rsid w:val="511600C5"/>
    <w:rsid w:val="511E4130"/>
    <w:rsid w:val="511F0A79"/>
    <w:rsid w:val="51215BB8"/>
    <w:rsid w:val="51235A2B"/>
    <w:rsid w:val="512F48C3"/>
    <w:rsid w:val="513B53D4"/>
    <w:rsid w:val="513C181E"/>
    <w:rsid w:val="51462300"/>
    <w:rsid w:val="51496907"/>
    <w:rsid w:val="51576E2F"/>
    <w:rsid w:val="515C7FB9"/>
    <w:rsid w:val="516D6307"/>
    <w:rsid w:val="517065DD"/>
    <w:rsid w:val="517270B8"/>
    <w:rsid w:val="51792B6A"/>
    <w:rsid w:val="517A55E8"/>
    <w:rsid w:val="517C5C51"/>
    <w:rsid w:val="5182302A"/>
    <w:rsid w:val="518F2363"/>
    <w:rsid w:val="5192567D"/>
    <w:rsid w:val="51963BA3"/>
    <w:rsid w:val="519F7FAC"/>
    <w:rsid w:val="51A018B7"/>
    <w:rsid w:val="51A14737"/>
    <w:rsid w:val="51A2158E"/>
    <w:rsid w:val="51A8382E"/>
    <w:rsid w:val="51A87469"/>
    <w:rsid w:val="51AB4F07"/>
    <w:rsid w:val="51B67F42"/>
    <w:rsid w:val="51BB6817"/>
    <w:rsid w:val="51CA475C"/>
    <w:rsid w:val="51CE5C4C"/>
    <w:rsid w:val="51DD57B6"/>
    <w:rsid w:val="51DF350E"/>
    <w:rsid w:val="51DF412A"/>
    <w:rsid w:val="520B2C6D"/>
    <w:rsid w:val="52133C34"/>
    <w:rsid w:val="52140036"/>
    <w:rsid w:val="522638BE"/>
    <w:rsid w:val="5229322C"/>
    <w:rsid w:val="522A0C52"/>
    <w:rsid w:val="522A1EF5"/>
    <w:rsid w:val="523C588C"/>
    <w:rsid w:val="523D30C4"/>
    <w:rsid w:val="52403BF9"/>
    <w:rsid w:val="524150BF"/>
    <w:rsid w:val="52420E87"/>
    <w:rsid w:val="5248662E"/>
    <w:rsid w:val="524D1DE7"/>
    <w:rsid w:val="52586AC4"/>
    <w:rsid w:val="527B219E"/>
    <w:rsid w:val="528449E8"/>
    <w:rsid w:val="52876BEF"/>
    <w:rsid w:val="528B2294"/>
    <w:rsid w:val="528F0C8A"/>
    <w:rsid w:val="52987A13"/>
    <w:rsid w:val="52995E1D"/>
    <w:rsid w:val="52A37469"/>
    <w:rsid w:val="52AB41B5"/>
    <w:rsid w:val="52BC333B"/>
    <w:rsid w:val="52C1522B"/>
    <w:rsid w:val="52C7662D"/>
    <w:rsid w:val="52D4020B"/>
    <w:rsid w:val="52E54444"/>
    <w:rsid w:val="52FF4BFF"/>
    <w:rsid w:val="53030788"/>
    <w:rsid w:val="530D327B"/>
    <w:rsid w:val="53170583"/>
    <w:rsid w:val="53234FBA"/>
    <w:rsid w:val="532663CB"/>
    <w:rsid w:val="533C7CC3"/>
    <w:rsid w:val="534479A8"/>
    <w:rsid w:val="534731E7"/>
    <w:rsid w:val="534C0638"/>
    <w:rsid w:val="53596866"/>
    <w:rsid w:val="536870CF"/>
    <w:rsid w:val="53840791"/>
    <w:rsid w:val="538728EC"/>
    <w:rsid w:val="538D5A45"/>
    <w:rsid w:val="53930A17"/>
    <w:rsid w:val="53A17B6E"/>
    <w:rsid w:val="53A345E8"/>
    <w:rsid w:val="53AA69EC"/>
    <w:rsid w:val="53B94E28"/>
    <w:rsid w:val="53BA2060"/>
    <w:rsid w:val="53CE651E"/>
    <w:rsid w:val="53EC4262"/>
    <w:rsid w:val="53F97037"/>
    <w:rsid w:val="540353D1"/>
    <w:rsid w:val="54060F9D"/>
    <w:rsid w:val="540F235E"/>
    <w:rsid w:val="54213DCB"/>
    <w:rsid w:val="54222B22"/>
    <w:rsid w:val="542C7A98"/>
    <w:rsid w:val="543B63E2"/>
    <w:rsid w:val="544615F0"/>
    <w:rsid w:val="544909BE"/>
    <w:rsid w:val="545C145C"/>
    <w:rsid w:val="545D2C15"/>
    <w:rsid w:val="54605FBD"/>
    <w:rsid w:val="5463724D"/>
    <w:rsid w:val="54652DF3"/>
    <w:rsid w:val="54676070"/>
    <w:rsid w:val="546E0797"/>
    <w:rsid w:val="547D78E9"/>
    <w:rsid w:val="54825E65"/>
    <w:rsid w:val="548561B2"/>
    <w:rsid w:val="54892033"/>
    <w:rsid w:val="548A5B56"/>
    <w:rsid w:val="54A86A7C"/>
    <w:rsid w:val="54AF16DE"/>
    <w:rsid w:val="54B50CF1"/>
    <w:rsid w:val="54B95EEC"/>
    <w:rsid w:val="54C0394D"/>
    <w:rsid w:val="54C82840"/>
    <w:rsid w:val="54C869E7"/>
    <w:rsid w:val="54CE39BB"/>
    <w:rsid w:val="54D166F6"/>
    <w:rsid w:val="54D71321"/>
    <w:rsid w:val="54D90BDE"/>
    <w:rsid w:val="54E131E2"/>
    <w:rsid w:val="54F43303"/>
    <w:rsid w:val="54F457BC"/>
    <w:rsid w:val="54FC2BCD"/>
    <w:rsid w:val="55131FEC"/>
    <w:rsid w:val="551630FC"/>
    <w:rsid w:val="552D196B"/>
    <w:rsid w:val="55301446"/>
    <w:rsid w:val="554307FE"/>
    <w:rsid w:val="55495910"/>
    <w:rsid w:val="554C05D6"/>
    <w:rsid w:val="555F1B75"/>
    <w:rsid w:val="556A47BF"/>
    <w:rsid w:val="55733F59"/>
    <w:rsid w:val="55863FAB"/>
    <w:rsid w:val="559A3850"/>
    <w:rsid w:val="55A03D0C"/>
    <w:rsid w:val="55B33F16"/>
    <w:rsid w:val="55B81E3A"/>
    <w:rsid w:val="55C21041"/>
    <w:rsid w:val="55C62557"/>
    <w:rsid w:val="55CC6981"/>
    <w:rsid w:val="55D02071"/>
    <w:rsid w:val="55D2248F"/>
    <w:rsid w:val="55DE46F8"/>
    <w:rsid w:val="55DF4042"/>
    <w:rsid w:val="55E85F28"/>
    <w:rsid w:val="55F15FDB"/>
    <w:rsid w:val="55F86847"/>
    <w:rsid w:val="56217B10"/>
    <w:rsid w:val="562379E2"/>
    <w:rsid w:val="562E599A"/>
    <w:rsid w:val="56394636"/>
    <w:rsid w:val="564718FB"/>
    <w:rsid w:val="564D42F2"/>
    <w:rsid w:val="565B4EAE"/>
    <w:rsid w:val="565F6532"/>
    <w:rsid w:val="5662423A"/>
    <w:rsid w:val="56647180"/>
    <w:rsid w:val="566E7783"/>
    <w:rsid w:val="567574D3"/>
    <w:rsid w:val="56853787"/>
    <w:rsid w:val="568F468B"/>
    <w:rsid w:val="569128DB"/>
    <w:rsid w:val="569649E6"/>
    <w:rsid w:val="56980CBC"/>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6FB42D4"/>
    <w:rsid w:val="570F38FB"/>
    <w:rsid w:val="57317A2D"/>
    <w:rsid w:val="573343D5"/>
    <w:rsid w:val="57480C7E"/>
    <w:rsid w:val="574E044C"/>
    <w:rsid w:val="577919F1"/>
    <w:rsid w:val="57837719"/>
    <w:rsid w:val="578F77B5"/>
    <w:rsid w:val="579537F7"/>
    <w:rsid w:val="57C14AD0"/>
    <w:rsid w:val="57C4409F"/>
    <w:rsid w:val="57CA10D2"/>
    <w:rsid w:val="57CD6833"/>
    <w:rsid w:val="57FD013B"/>
    <w:rsid w:val="57FF729E"/>
    <w:rsid w:val="58106CA6"/>
    <w:rsid w:val="58130A39"/>
    <w:rsid w:val="5814199B"/>
    <w:rsid w:val="581553C8"/>
    <w:rsid w:val="58166406"/>
    <w:rsid w:val="58176D45"/>
    <w:rsid w:val="58207C92"/>
    <w:rsid w:val="58247D50"/>
    <w:rsid w:val="58381E6A"/>
    <w:rsid w:val="583C62B7"/>
    <w:rsid w:val="5848185C"/>
    <w:rsid w:val="584F7D5F"/>
    <w:rsid w:val="585B1210"/>
    <w:rsid w:val="585E5941"/>
    <w:rsid w:val="585E782A"/>
    <w:rsid w:val="58656967"/>
    <w:rsid w:val="58701BA4"/>
    <w:rsid w:val="587E014A"/>
    <w:rsid w:val="5887397A"/>
    <w:rsid w:val="588D33E6"/>
    <w:rsid w:val="58A04617"/>
    <w:rsid w:val="58A545FC"/>
    <w:rsid w:val="58CA623D"/>
    <w:rsid w:val="58E53FCB"/>
    <w:rsid w:val="58EA2C4B"/>
    <w:rsid w:val="58F10149"/>
    <w:rsid w:val="58F7366B"/>
    <w:rsid w:val="59042F7C"/>
    <w:rsid w:val="591050F0"/>
    <w:rsid w:val="592430C6"/>
    <w:rsid w:val="59264D2A"/>
    <w:rsid w:val="593B2A10"/>
    <w:rsid w:val="59402925"/>
    <w:rsid w:val="59446117"/>
    <w:rsid w:val="59592ED1"/>
    <w:rsid w:val="59610D60"/>
    <w:rsid w:val="596541E5"/>
    <w:rsid w:val="596C0F43"/>
    <w:rsid w:val="596D77E3"/>
    <w:rsid w:val="59744FD4"/>
    <w:rsid w:val="599B6EA3"/>
    <w:rsid w:val="599C00A2"/>
    <w:rsid w:val="599F418D"/>
    <w:rsid w:val="59A4763B"/>
    <w:rsid w:val="59B21A2E"/>
    <w:rsid w:val="59B23C9A"/>
    <w:rsid w:val="59B94819"/>
    <w:rsid w:val="59C84333"/>
    <w:rsid w:val="59DE28FC"/>
    <w:rsid w:val="59E05471"/>
    <w:rsid w:val="59EC3189"/>
    <w:rsid w:val="59F304B9"/>
    <w:rsid w:val="5A0B34F7"/>
    <w:rsid w:val="5A0D5EFA"/>
    <w:rsid w:val="5A100BCE"/>
    <w:rsid w:val="5A100EB5"/>
    <w:rsid w:val="5A114CC0"/>
    <w:rsid w:val="5A1D7EF7"/>
    <w:rsid w:val="5A2E3986"/>
    <w:rsid w:val="5A356DD6"/>
    <w:rsid w:val="5A382C39"/>
    <w:rsid w:val="5A3C0583"/>
    <w:rsid w:val="5A42051E"/>
    <w:rsid w:val="5A445430"/>
    <w:rsid w:val="5A4E0741"/>
    <w:rsid w:val="5A534FF7"/>
    <w:rsid w:val="5A68290F"/>
    <w:rsid w:val="5A6B2DA3"/>
    <w:rsid w:val="5A6D0771"/>
    <w:rsid w:val="5A787E0A"/>
    <w:rsid w:val="5A8265BB"/>
    <w:rsid w:val="5A890355"/>
    <w:rsid w:val="5A9601DB"/>
    <w:rsid w:val="5AB51DDE"/>
    <w:rsid w:val="5AC616A0"/>
    <w:rsid w:val="5AD259D8"/>
    <w:rsid w:val="5AD97181"/>
    <w:rsid w:val="5AEB60C3"/>
    <w:rsid w:val="5AF93E8D"/>
    <w:rsid w:val="5AFE2F42"/>
    <w:rsid w:val="5B036C0E"/>
    <w:rsid w:val="5B0A4061"/>
    <w:rsid w:val="5B0C5FBD"/>
    <w:rsid w:val="5B1B000A"/>
    <w:rsid w:val="5B1C6576"/>
    <w:rsid w:val="5B2100D5"/>
    <w:rsid w:val="5B2C792B"/>
    <w:rsid w:val="5B464B7E"/>
    <w:rsid w:val="5B4A13C2"/>
    <w:rsid w:val="5B6E69CA"/>
    <w:rsid w:val="5B6F606C"/>
    <w:rsid w:val="5B710FC8"/>
    <w:rsid w:val="5B716D64"/>
    <w:rsid w:val="5B743C52"/>
    <w:rsid w:val="5B772B5D"/>
    <w:rsid w:val="5B7B067C"/>
    <w:rsid w:val="5B890F47"/>
    <w:rsid w:val="5B9A3F92"/>
    <w:rsid w:val="5B9B465A"/>
    <w:rsid w:val="5B9E2B29"/>
    <w:rsid w:val="5BA036A9"/>
    <w:rsid w:val="5BA5170C"/>
    <w:rsid w:val="5BA545CB"/>
    <w:rsid w:val="5BA861E5"/>
    <w:rsid w:val="5BA95949"/>
    <w:rsid w:val="5BAC7567"/>
    <w:rsid w:val="5BBE2742"/>
    <w:rsid w:val="5BC551D7"/>
    <w:rsid w:val="5BCF5FD7"/>
    <w:rsid w:val="5BD64CF3"/>
    <w:rsid w:val="5BD77AF6"/>
    <w:rsid w:val="5BFB2A09"/>
    <w:rsid w:val="5BFB638B"/>
    <w:rsid w:val="5C014C14"/>
    <w:rsid w:val="5C056287"/>
    <w:rsid w:val="5C0F6CB9"/>
    <w:rsid w:val="5C16288F"/>
    <w:rsid w:val="5C207758"/>
    <w:rsid w:val="5C2969DD"/>
    <w:rsid w:val="5C2D5415"/>
    <w:rsid w:val="5C517365"/>
    <w:rsid w:val="5C5A7340"/>
    <w:rsid w:val="5C617983"/>
    <w:rsid w:val="5C6F147B"/>
    <w:rsid w:val="5C764E25"/>
    <w:rsid w:val="5C7C3DBC"/>
    <w:rsid w:val="5C864257"/>
    <w:rsid w:val="5C9763F1"/>
    <w:rsid w:val="5C9E7C2E"/>
    <w:rsid w:val="5CA15D23"/>
    <w:rsid w:val="5CAC4F60"/>
    <w:rsid w:val="5CC334F6"/>
    <w:rsid w:val="5CCC07B0"/>
    <w:rsid w:val="5CD90705"/>
    <w:rsid w:val="5CEB1B81"/>
    <w:rsid w:val="5CEC2D02"/>
    <w:rsid w:val="5CF86D3C"/>
    <w:rsid w:val="5D0015BF"/>
    <w:rsid w:val="5D06031B"/>
    <w:rsid w:val="5D0C3DC7"/>
    <w:rsid w:val="5D1848A5"/>
    <w:rsid w:val="5D193471"/>
    <w:rsid w:val="5D1E77D4"/>
    <w:rsid w:val="5D3025FF"/>
    <w:rsid w:val="5D324075"/>
    <w:rsid w:val="5D3F4041"/>
    <w:rsid w:val="5D4261AF"/>
    <w:rsid w:val="5D4C134D"/>
    <w:rsid w:val="5D6111F2"/>
    <w:rsid w:val="5D6E6F86"/>
    <w:rsid w:val="5D77069D"/>
    <w:rsid w:val="5D8936C9"/>
    <w:rsid w:val="5D8A3A67"/>
    <w:rsid w:val="5D9F4100"/>
    <w:rsid w:val="5DB00D3B"/>
    <w:rsid w:val="5DC243DB"/>
    <w:rsid w:val="5DCF5FA1"/>
    <w:rsid w:val="5DD30236"/>
    <w:rsid w:val="5DDD7DB4"/>
    <w:rsid w:val="5DE72BB9"/>
    <w:rsid w:val="5DF17B97"/>
    <w:rsid w:val="5DFC2281"/>
    <w:rsid w:val="5DFE49EE"/>
    <w:rsid w:val="5DFF737F"/>
    <w:rsid w:val="5E00208A"/>
    <w:rsid w:val="5E0A43F8"/>
    <w:rsid w:val="5E0C5298"/>
    <w:rsid w:val="5E1272FB"/>
    <w:rsid w:val="5E150433"/>
    <w:rsid w:val="5E1702B0"/>
    <w:rsid w:val="5E1C1670"/>
    <w:rsid w:val="5E3B61F4"/>
    <w:rsid w:val="5E442AFD"/>
    <w:rsid w:val="5E4E152D"/>
    <w:rsid w:val="5E5100E1"/>
    <w:rsid w:val="5E532D1B"/>
    <w:rsid w:val="5E591204"/>
    <w:rsid w:val="5E6663C5"/>
    <w:rsid w:val="5E690D5E"/>
    <w:rsid w:val="5E6A0606"/>
    <w:rsid w:val="5E746F2A"/>
    <w:rsid w:val="5E775B99"/>
    <w:rsid w:val="5E8D32BA"/>
    <w:rsid w:val="5EA93002"/>
    <w:rsid w:val="5EB13B1E"/>
    <w:rsid w:val="5EBA5148"/>
    <w:rsid w:val="5ECE6451"/>
    <w:rsid w:val="5ED460B2"/>
    <w:rsid w:val="5ED91797"/>
    <w:rsid w:val="5EDF206B"/>
    <w:rsid w:val="5EEB40CF"/>
    <w:rsid w:val="5EF8260C"/>
    <w:rsid w:val="5EFC246C"/>
    <w:rsid w:val="5F061CD1"/>
    <w:rsid w:val="5F1E30E5"/>
    <w:rsid w:val="5F377813"/>
    <w:rsid w:val="5F39549A"/>
    <w:rsid w:val="5F3D7AAC"/>
    <w:rsid w:val="5F4E354E"/>
    <w:rsid w:val="5F537E60"/>
    <w:rsid w:val="5F731427"/>
    <w:rsid w:val="5F812EE3"/>
    <w:rsid w:val="5F8E39E6"/>
    <w:rsid w:val="5F922566"/>
    <w:rsid w:val="5F9A7B6B"/>
    <w:rsid w:val="5FAA70C2"/>
    <w:rsid w:val="5FB454E8"/>
    <w:rsid w:val="5FC376E3"/>
    <w:rsid w:val="5FC559AB"/>
    <w:rsid w:val="5FC876E1"/>
    <w:rsid w:val="5FCD0F39"/>
    <w:rsid w:val="5FD70898"/>
    <w:rsid w:val="5FDB1CEF"/>
    <w:rsid w:val="6000247B"/>
    <w:rsid w:val="60026C59"/>
    <w:rsid w:val="600D2427"/>
    <w:rsid w:val="601F0A73"/>
    <w:rsid w:val="60436A1B"/>
    <w:rsid w:val="604416A4"/>
    <w:rsid w:val="60465395"/>
    <w:rsid w:val="60477519"/>
    <w:rsid w:val="60575B6D"/>
    <w:rsid w:val="605B70B7"/>
    <w:rsid w:val="606E6BE4"/>
    <w:rsid w:val="6086096B"/>
    <w:rsid w:val="608C7161"/>
    <w:rsid w:val="609A1105"/>
    <w:rsid w:val="60C44D75"/>
    <w:rsid w:val="60C54619"/>
    <w:rsid w:val="60CC3323"/>
    <w:rsid w:val="60CE2364"/>
    <w:rsid w:val="60CE267F"/>
    <w:rsid w:val="60D21DF8"/>
    <w:rsid w:val="60D35802"/>
    <w:rsid w:val="60E0624B"/>
    <w:rsid w:val="60E1532B"/>
    <w:rsid w:val="60E229FC"/>
    <w:rsid w:val="60EC1F9E"/>
    <w:rsid w:val="60F03D00"/>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22B22"/>
    <w:rsid w:val="61B63590"/>
    <w:rsid w:val="61BC65D1"/>
    <w:rsid w:val="61C675E9"/>
    <w:rsid w:val="61CB5C30"/>
    <w:rsid w:val="61D758F4"/>
    <w:rsid w:val="61D80FC7"/>
    <w:rsid w:val="61E33148"/>
    <w:rsid w:val="61EB1D46"/>
    <w:rsid w:val="61FF1DCD"/>
    <w:rsid w:val="620A0CDC"/>
    <w:rsid w:val="620F5E0E"/>
    <w:rsid w:val="6215352D"/>
    <w:rsid w:val="622324D6"/>
    <w:rsid w:val="62246687"/>
    <w:rsid w:val="62264FF6"/>
    <w:rsid w:val="62355ABE"/>
    <w:rsid w:val="625379F3"/>
    <w:rsid w:val="625F1916"/>
    <w:rsid w:val="626058A9"/>
    <w:rsid w:val="627002FC"/>
    <w:rsid w:val="627A4079"/>
    <w:rsid w:val="627C183B"/>
    <w:rsid w:val="628D2CB2"/>
    <w:rsid w:val="628F00BA"/>
    <w:rsid w:val="62AC2443"/>
    <w:rsid w:val="62B0741E"/>
    <w:rsid w:val="62BE7C14"/>
    <w:rsid w:val="62C165DD"/>
    <w:rsid w:val="62CB7263"/>
    <w:rsid w:val="62DA0E37"/>
    <w:rsid w:val="62DB4EDF"/>
    <w:rsid w:val="62DD1B78"/>
    <w:rsid w:val="62DE182A"/>
    <w:rsid w:val="62E20BA3"/>
    <w:rsid w:val="62E32931"/>
    <w:rsid w:val="62E609AF"/>
    <w:rsid w:val="62EE2350"/>
    <w:rsid w:val="62F62D17"/>
    <w:rsid w:val="63076198"/>
    <w:rsid w:val="63185FA2"/>
    <w:rsid w:val="63197191"/>
    <w:rsid w:val="632F1AEC"/>
    <w:rsid w:val="6332257C"/>
    <w:rsid w:val="633F7B08"/>
    <w:rsid w:val="63534332"/>
    <w:rsid w:val="635C2933"/>
    <w:rsid w:val="635C3D24"/>
    <w:rsid w:val="635E2BE0"/>
    <w:rsid w:val="63636EB0"/>
    <w:rsid w:val="636C3444"/>
    <w:rsid w:val="63777076"/>
    <w:rsid w:val="637E241F"/>
    <w:rsid w:val="63836FE7"/>
    <w:rsid w:val="63840FA0"/>
    <w:rsid w:val="63907C89"/>
    <w:rsid w:val="6398788F"/>
    <w:rsid w:val="63A07392"/>
    <w:rsid w:val="63A15013"/>
    <w:rsid w:val="63A71D99"/>
    <w:rsid w:val="63A857C6"/>
    <w:rsid w:val="63AA1562"/>
    <w:rsid w:val="63C079C8"/>
    <w:rsid w:val="63C41718"/>
    <w:rsid w:val="63C50CA4"/>
    <w:rsid w:val="63D53F5A"/>
    <w:rsid w:val="63DA198A"/>
    <w:rsid w:val="63EC42CE"/>
    <w:rsid w:val="63FD3C8B"/>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27EC"/>
    <w:rsid w:val="64D77EEC"/>
    <w:rsid w:val="64DA391C"/>
    <w:rsid w:val="64F1178E"/>
    <w:rsid w:val="64FC5F3B"/>
    <w:rsid w:val="65111636"/>
    <w:rsid w:val="651D0BB5"/>
    <w:rsid w:val="652C1CD6"/>
    <w:rsid w:val="652D1935"/>
    <w:rsid w:val="65404114"/>
    <w:rsid w:val="655532F7"/>
    <w:rsid w:val="65783306"/>
    <w:rsid w:val="658247E4"/>
    <w:rsid w:val="65827F06"/>
    <w:rsid w:val="658C75DF"/>
    <w:rsid w:val="659C3613"/>
    <w:rsid w:val="659D195E"/>
    <w:rsid w:val="659F0550"/>
    <w:rsid w:val="65A37DBC"/>
    <w:rsid w:val="65A76BCF"/>
    <w:rsid w:val="65AB71D2"/>
    <w:rsid w:val="65AD3140"/>
    <w:rsid w:val="65AF4C43"/>
    <w:rsid w:val="65B540D9"/>
    <w:rsid w:val="65C1767E"/>
    <w:rsid w:val="65D122BF"/>
    <w:rsid w:val="65D57E0E"/>
    <w:rsid w:val="65D61B1A"/>
    <w:rsid w:val="65D7651B"/>
    <w:rsid w:val="65E3601A"/>
    <w:rsid w:val="65E62ED8"/>
    <w:rsid w:val="65EB6C6F"/>
    <w:rsid w:val="65F10948"/>
    <w:rsid w:val="65F35F04"/>
    <w:rsid w:val="6601485A"/>
    <w:rsid w:val="66046B4E"/>
    <w:rsid w:val="6615758F"/>
    <w:rsid w:val="66196ECC"/>
    <w:rsid w:val="66303632"/>
    <w:rsid w:val="663E460A"/>
    <w:rsid w:val="664601B8"/>
    <w:rsid w:val="6657159A"/>
    <w:rsid w:val="665D343F"/>
    <w:rsid w:val="665F3603"/>
    <w:rsid w:val="66644753"/>
    <w:rsid w:val="66694836"/>
    <w:rsid w:val="666E4B39"/>
    <w:rsid w:val="66723862"/>
    <w:rsid w:val="66727DB4"/>
    <w:rsid w:val="66760BD7"/>
    <w:rsid w:val="669361A9"/>
    <w:rsid w:val="66A3333B"/>
    <w:rsid w:val="66A43DB4"/>
    <w:rsid w:val="66A71C88"/>
    <w:rsid w:val="66EE6FD6"/>
    <w:rsid w:val="6703713B"/>
    <w:rsid w:val="670F2CA0"/>
    <w:rsid w:val="671F4472"/>
    <w:rsid w:val="672F1E85"/>
    <w:rsid w:val="6764794B"/>
    <w:rsid w:val="6768274A"/>
    <w:rsid w:val="677364EC"/>
    <w:rsid w:val="67750ABD"/>
    <w:rsid w:val="678122F4"/>
    <w:rsid w:val="678D736E"/>
    <w:rsid w:val="678E2725"/>
    <w:rsid w:val="679B08DF"/>
    <w:rsid w:val="67A40605"/>
    <w:rsid w:val="67A7026C"/>
    <w:rsid w:val="67CF0021"/>
    <w:rsid w:val="67D742CB"/>
    <w:rsid w:val="67DE0D83"/>
    <w:rsid w:val="67DF1078"/>
    <w:rsid w:val="67EF03F0"/>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7164A6"/>
    <w:rsid w:val="69792ADF"/>
    <w:rsid w:val="699658D9"/>
    <w:rsid w:val="699A2A0E"/>
    <w:rsid w:val="699C354E"/>
    <w:rsid w:val="69A311FE"/>
    <w:rsid w:val="69AC3773"/>
    <w:rsid w:val="69B311E0"/>
    <w:rsid w:val="69CB25F8"/>
    <w:rsid w:val="69DF1C8C"/>
    <w:rsid w:val="69E42E40"/>
    <w:rsid w:val="69E9611D"/>
    <w:rsid w:val="69F149EA"/>
    <w:rsid w:val="69FD725C"/>
    <w:rsid w:val="69FE5BB5"/>
    <w:rsid w:val="6A0C66E5"/>
    <w:rsid w:val="6A124174"/>
    <w:rsid w:val="6A137278"/>
    <w:rsid w:val="6A15629A"/>
    <w:rsid w:val="6A1B4786"/>
    <w:rsid w:val="6A25691C"/>
    <w:rsid w:val="6A2E45BB"/>
    <w:rsid w:val="6A2F3F5E"/>
    <w:rsid w:val="6A362A0F"/>
    <w:rsid w:val="6A55282D"/>
    <w:rsid w:val="6A5C1CD5"/>
    <w:rsid w:val="6A6447E5"/>
    <w:rsid w:val="6A76433A"/>
    <w:rsid w:val="6A7A4451"/>
    <w:rsid w:val="6A7D22D8"/>
    <w:rsid w:val="6A81547A"/>
    <w:rsid w:val="6A930F1A"/>
    <w:rsid w:val="6A9339C4"/>
    <w:rsid w:val="6A94212E"/>
    <w:rsid w:val="6A9D0F09"/>
    <w:rsid w:val="6AA831C5"/>
    <w:rsid w:val="6AB271BF"/>
    <w:rsid w:val="6AB303A3"/>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3736F"/>
    <w:rsid w:val="6B340849"/>
    <w:rsid w:val="6B3928B6"/>
    <w:rsid w:val="6B462CE0"/>
    <w:rsid w:val="6B480E55"/>
    <w:rsid w:val="6B4F273B"/>
    <w:rsid w:val="6B514E1B"/>
    <w:rsid w:val="6B52582F"/>
    <w:rsid w:val="6B551BF1"/>
    <w:rsid w:val="6B577EAB"/>
    <w:rsid w:val="6B6432ED"/>
    <w:rsid w:val="6B786F8B"/>
    <w:rsid w:val="6B866978"/>
    <w:rsid w:val="6B891E19"/>
    <w:rsid w:val="6B941FCC"/>
    <w:rsid w:val="6B9D3663"/>
    <w:rsid w:val="6B9E2231"/>
    <w:rsid w:val="6BA935C4"/>
    <w:rsid w:val="6BC43F1F"/>
    <w:rsid w:val="6BC91D6E"/>
    <w:rsid w:val="6BD839B0"/>
    <w:rsid w:val="6BDB5C94"/>
    <w:rsid w:val="6BDB6090"/>
    <w:rsid w:val="6BDC1899"/>
    <w:rsid w:val="6BED3CC8"/>
    <w:rsid w:val="6BF07518"/>
    <w:rsid w:val="6BF84BB3"/>
    <w:rsid w:val="6C040C2B"/>
    <w:rsid w:val="6C072D96"/>
    <w:rsid w:val="6C122656"/>
    <w:rsid w:val="6C1B696A"/>
    <w:rsid w:val="6C285280"/>
    <w:rsid w:val="6C2B4CD0"/>
    <w:rsid w:val="6C394A87"/>
    <w:rsid w:val="6C396A79"/>
    <w:rsid w:val="6C3B6833"/>
    <w:rsid w:val="6C3E677A"/>
    <w:rsid w:val="6C4F610C"/>
    <w:rsid w:val="6C7B5E0B"/>
    <w:rsid w:val="6C7F69A8"/>
    <w:rsid w:val="6C8E5586"/>
    <w:rsid w:val="6C9E52CA"/>
    <w:rsid w:val="6CA21347"/>
    <w:rsid w:val="6CAE5034"/>
    <w:rsid w:val="6CB12C8C"/>
    <w:rsid w:val="6CB32FFA"/>
    <w:rsid w:val="6CB973DE"/>
    <w:rsid w:val="6CBC78E1"/>
    <w:rsid w:val="6CC3557E"/>
    <w:rsid w:val="6CC96B43"/>
    <w:rsid w:val="6CDE1346"/>
    <w:rsid w:val="6CEA65C7"/>
    <w:rsid w:val="6CF648CC"/>
    <w:rsid w:val="6D0336F9"/>
    <w:rsid w:val="6D064EC8"/>
    <w:rsid w:val="6D131125"/>
    <w:rsid w:val="6D260C96"/>
    <w:rsid w:val="6D36300F"/>
    <w:rsid w:val="6D413F66"/>
    <w:rsid w:val="6D415B5B"/>
    <w:rsid w:val="6D434685"/>
    <w:rsid w:val="6D4836EB"/>
    <w:rsid w:val="6D4D5D26"/>
    <w:rsid w:val="6D697B23"/>
    <w:rsid w:val="6D912FC0"/>
    <w:rsid w:val="6D9F0301"/>
    <w:rsid w:val="6DB678CB"/>
    <w:rsid w:val="6DBD23B8"/>
    <w:rsid w:val="6DC30087"/>
    <w:rsid w:val="6DCD2DF3"/>
    <w:rsid w:val="6DEC597F"/>
    <w:rsid w:val="6DF450FF"/>
    <w:rsid w:val="6DF46255"/>
    <w:rsid w:val="6DFC5EAD"/>
    <w:rsid w:val="6E1A4D22"/>
    <w:rsid w:val="6E2D02DD"/>
    <w:rsid w:val="6E2E476A"/>
    <w:rsid w:val="6E4C5B50"/>
    <w:rsid w:val="6E642863"/>
    <w:rsid w:val="6E792349"/>
    <w:rsid w:val="6E923D3F"/>
    <w:rsid w:val="6EA16762"/>
    <w:rsid w:val="6EA72155"/>
    <w:rsid w:val="6EAF0BF3"/>
    <w:rsid w:val="6EBE1A41"/>
    <w:rsid w:val="6EC0731A"/>
    <w:rsid w:val="6EC529FD"/>
    <w:rsid w:val="6EF07EC9"/>
    <w:rsid w:val="6EF70206"/>
    <w:rsid w:val="6EFB632C"/>
    <w:rsid w:val="6F0714A5"/>
    <w:rsid w:val="6F0A5CB7"/>
    <w:rsid w:val="6F0E30D9"/>
    <w:rsid w:val="6F183C2E"/>
    <w:rsid w:val="6F191059"/>
    <w:rsid w:val="6F1A7F51"/>
    <w:rsid w:val="6F240D41"/>
    <w:rsid w:val="6F264D12"/>
    <w:rsid w:val="6F26561D"/>
    <w:rsid w:val="6F290204"/>
    <w:rsid w:val="6F2C7DCC"/>
    <w:rsid w:val="6F2D30A9"/>
    <w:rsid w:val="6F307625"/>
    <w:rsid w:val="6F322600"/>
    <w:rsid w:val="6F3327D0"/>
    <w:rsid w:val="6F33787F"/>
    <w:rsid w:val="6F345DA1"/>
    <w:rsid w:val="6F35675E"/>
    <w:rsid w:val="6F45623B"/>
    <w:rsid w:val="6F460A3C"/>
    <w:rsid w:val="6F461E62"/>
    <w:rsid w:val="6F4844CF"/>
    <w:rsid w:val="6F4A0249"/>
    <w:rsid w:val="6F5233AC"/>
    <w:rsid w:val="6F536E13"/>
    <w:rsid w:val="6F7C2D15"/>
    <w:rsid w:val="6F7F634F"/>
    <w:rsid w:val="6F817ABF"/>
    <w:rsid w:val="6F852C45"/>
    <w:rsid w:val="6F861E4D"/>
    <w:rsid w:val="6F9B66B7"/>
    <w:rsid w:val="6F9F2391"/>
    <w:rsid w:val="6FA103C6"/>
    <w:rsid w:val="6FB552C1"/>
    <w:rsid w:val="6FB813DA"/>
    <w:rsid w:val="6FBD2CF9"/>
    <w:rsid w:val="6FC43F33"/>
    <w:rsid w:val="6FCA5E05"/>
    <w:rsid w:val="6FD511D2"/>
    <w:rsid w:val="6FE94C92"/>
    <w:rsid w:val="6FEC121D"/>
    <w:rsid w:val="6FF87E02"/>
    <w:rsid w:val="6FFE0C27"/>
    <w:rsid w:val="6FFF1D0E"/>
    <w:rsid w:val="70023EF4"/>
    <w:rsid w:val="700C0DDB"/>
    <w:rsid w:val="700C30E5"/>
    <w:rsid w:val="70234C2A"/>
    <w:rsid w:val="7028311E"/>
    <w:rsid w:val="702E6608"/>
    <w:rsid w:val="7031537B"/>
    <w:rsid w:val="7035627A"/>
    <w:rsid w:val="703774A1"/>
    <w:rsid w:val="703C60B0"/>
    <w:rsid w:val="704D6F6E"/>
    <w:rsid w:val="704E6356"/>
    <w:rsid w:val="70536C3C"/>
    <w:rsid w:val="706106E9"/>
    <w:rsid w:val="706F6846"/>
    <w:rsid w:val="70716992"/>
    <w:rsid w:val="70750DFC"/>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A53EA"/>
    <w:rsid w:val="711B525A"/>
    <w:rsid w:val="712D47C3"/>
    <w:rsid w:val="712E0FDD"/>
    <w:rsid w:val="7133503F"/>
    <w:rsid w:val="7138443C"/>
    <w:rsid w:val="713C3926"/>
    <w:rsid w:val="714F6FA3"/>
    <w:rsid w:val="715E10D1"/>
    <w:rsid w:val="716B6DA7"/>
    <w:rsid w:val="7170132E"/>
    <w:rsid w:val="717F6036"/>
    <w:rsid w:val="718423DB"/>
    <w:rsid w:val="71844648"/>
    <w:rsid w:val="718A0404"/>
    <w:rsid w:val="71A62743"/>
    <w:rsid w:val="71AB0D49"/>
    <w:rsid w:val="71AE6F3E"/>
    <w:rsid w:val="71B11300"/>
    <w:rsid w:val="71B41465"/>
    <w:rsid w:val="71C54CF1"/>
    <w:rsid w:val="71C903BF"/>
    <w:rsid w:val="71C94930"/>
    <w:rsid w:val="71D03B3C"/>
    <w:rsid w:val="71DD3962"/>
    <w:rsid w:val="71F540EF"/>
    <w:rsid w:val="71FF7992"/>
    <w:rsid w:val="720B5784"/>
    <w:rsid w:val="720F6E40"/>
    <w:rsid w:val="72107D9F"/>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F79CF"/>
    <w:rsid w:val="72C7434F"/>
    <w:rsid w:val="72DE2745"/>
    <w:rsid w:val="72E054B1"/>
    <w:rsid w:val="72E607CB"/>
    <w:rsid w:val="72EA4FFC"/>
    <w:rsid w:val="72FE7918"/>
    <w:rsid w:val="73047A73"/>
    <w:rsid w:val="73114E7C"/>
    <w:rsid w:val="73156D94"/>
    <w:rsid w:val="7318429A"/>
    <w:rsid w:val="732D5CDB"/>
    <w:rsid w:val="73334648"/>
    <w:rsid w:val="734D4252"/>
    <w:rsid w:val="73555484"/>
    <w:rsid w:val="736C218E"/>
    <w:rsid w:val="737B6E01"/>
    <w:rsid w:val="738B68E0"/>
    <w:rsid w:val="738D3F2F"/>
    <w:rsid w:val="7391660C"/>
    <w:rsid w:val="7397215F"/>
    <w:rsid w:val="739E52C3"/>
    <w:rsid w:val="73A45FC4"/>
    <w:rsid w:val="73AA6454"/>
    <w:rsid w:val="73AB73FF"/>
    <w:rsid w:val="73C26A0C"/>
    <w:rsid w:val="73CE552C"/>
    <w:rsid w:val="73D9131E"/>
    <w:rsid w:val="73DA682A"/>
    <w:rsid w:val="73F50B4E"/>
    <w:rsid w:val="740E765C"/>
    <w:rsid w:val="74196000"/>
    <w:rsid w:val="7427607C"/>
    <w:rsid w:val="74586E75"/>
    <w:rsid w:val="746077C0"/>
    <w:rsid w:val="747A4689"/>
    <w:rsid w:val="748616D3"/>
    <w:rsid w:val="749909AF"/>
    <w:rsid w:val="749C4397"/>
    <w:rsid w:val="74A04908"/>
    <w:rsid w:val="74A940DE"/>
    <w:rsid w:val="74AC43EA"/>
    <w:rsid w:val="74BA5741"/>
    <w:rsid w:val="74BD6EDA"/>
    <w:rsid w:val="74C462AD"/>
    <w:rsid w:val="74C46333"/>
    <w:rsid w:val="74C9141D"/>
    <w:rsid w:val="74DA056B"/>
    <w:rsid w:val="74E802F0"/>
    <w:rsid w:val="74EA4752"/>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B92CCD"/>
    <w:rsid w:val="75C90FAD"/>
    <w:rsid w:val="75F24E3F"/>
    <w:rsid w:val="75FE013E"/>
    <w:rsid w:val="76066D64"/>
    <w:rsid w:val="76073E2F"/>
    <w:rsid w:val="760A5457"/>
    <w:rsid w:val="761C35EB"/>
    <w:rsid w:val="761D10F5"/>
    <w:rsid w:val="76206BF8"/>
    <w:rsid w:val="76217E36"/>
    <w:rsid w:val="762348EF"/>
    <w:rsid w:val="763358B6"/>
    <w:rsid w:val="764351DD"/>
    <w:rsid w:val="764470CE"/>
    <w:rsid w:val="764D5B5A"/>
    <w:rsid w:val="76632F71"/>
    <w:rsid w:val="76667CCC"/>
    <w:rsid w:val="76706ECF"/>
    <w:rsid w:val="767D62A9"/>
    <w:rsid w:val="7690759B"/>
    <w:rsid w:val="76914810"/>
    <w:rsid w:val="76A044CE"/>
    <w:rsid w:val="76AA10FD"/>
    <w:rsid w:val="76BB1322"/>
    <w:rsid w:val="76CE1B1D"/>
    <w:rsid w:val="76D0048F"/>
    <w:rsid w:val="76D222A7"/>
    <w:rsid w:val="76D57902"/>
    <w:rsid w:val="76DB2223"/>
    <w:rsid w:val="76E625D6"/>
    <w:rsid w:val="76EE647F"/>
    <w:rsid w:val="76FD0D45"/>
    <w:rsid w:val="77027AD0"/>
    <w:rsid w:val="77081635"/>
    <w:rsid w:val="77127D5F"/>
    <w:rsid w:val="771C2CB9"/>
    <w:rsid w:val="77223989"/>
    <w:rsid w:val="772445FD"/>
    <w:rsid w:val="772A243C"/>
    <w:rsid w:val="77334555"/>
    <w:rsid w:val="773E41EC"/>
    <w:rsid w:val="775F7ED4"/>
    <w:rsid w:val="77602396"/>
    <w:rsid w:val="77660E84"/>
    <w:rsid w:val="777109FF"/>
    <w:rsid w:val="7774505B"/>
    <w:rsid w:val="777520F0"/>
    <w:rsid w:val="77790B86"/>
    <w:rsid w:val="77865529"/>
    <w:rsid w:val="77A05409"/>
    <w:rsid w:val="77A116E4"/>
    <w:rsid w:val="77A14537"/>
    <w:rsid w:val="77A25E80"/>
    <w:rsid w:val="77AA0850"/>
    <w:rsid w:val="77AF7330"/>
    <w:rsid w:val="77B45BDA"/>
    <w:rsid w:val="77BC3C32"/>
    <w:rsid w:val="77BC6EFE"/>
    <w:rsid w:val="77CE5F93"/>
    <w:rsid w:val="77D74233"/>
    <w:rsid w:val="77D873B8"/>
    <w:rsid w:val="77E63BD8"/>
    <w:rsid w:val="77F3388A"/>
    <w:rsid w:val="77F8507F"/>
    <w:rsid w:val="78024CAA"/>
    <w:rsid w:val="780E1489"/>
    <w:rsid w:val="78107604"/>
    <w:rsid w:val="78192C2A"/>
    <w:rsid w:val="782E7B78"/>
    <w:rsid w:val="783C45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91E23"/>
    <w:rsid w:val="78BA7E4F"/>
    <w:rsid w:val="78D179BD"/>
    <w:rsid w:val="78E1761E"/>
    <w:rsid w:val="78E56B0D"/>
    <w:rsid w:val="78F70794"/>
    <w:rsid w:val="78FE1436"/>
    <w:rsid w:val="78FF5ADA"/>
    <w:rsid w:val="790615DD"/>
    <w:rsid w:val="790B19DC"/>
    <w:rsid w:val="7910114E"/>
    <w:rsid w:val="791909DD"/>
    <w:rsid w:val="7919794D"/>
    <w:rsid w:val="792C7732"/>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B329FC"/>
    <w:rsid w:val="79C128E4"/>
    <w:rsid w:val="79C911C2"/>
    <w:rsid w:val="79CE67DB"/>
    <w:rsid w:val="79D25AA5"/>
    <w:rsid w:val="79D6563F"/>
    <w:rsid w:val="79D838BA"/>
    <w:rsid w:val="79F620AD"/>
    <w:rsid w:val="79F649EE"/>
    <w:rsid w:val="79FB25B1"/>
    <w:rsid w:val="7A0C0F31"/>
    <w:rsid w:val="7A0F38B5"/>
    <w:rsid w:val="7A101D0D"/>
    <w:rsid w:val="7A120C0C"/>
    <w:rsid w:val="7A1C44DD"/>
    <w:rsid w:val="7A1C66FB"/>
    <w:rsid w:val="7A2E68F6"/>
    <w:rsid w:val="7A396E1F"/>
    <w:rsid w:val="7A4C5A3B"/>
    <w:rsid w:val="7A4F0D26"/>
    <w:rsid w:val="7A5339A0"/>
    <w:rsid w:val="7A5B05B6"/>
    <w:rsid w:val="7A630172"/>
    <w:rsid w:val="7A631309"/>
    <w:rsid w:val="7A6F5116"/>
    <w:rsid w:val="7A8C08E4"/>
    <w:rsid w:val="7A921E21"/>
    <w:rsid w:val="7AA91090"/>
    <w:rsid w:val="7AAA62CC"/>
    <w:rsid w:val="7AB160CE"/>
    <w:rsid w:val="7AC5601E"/>
    <w:rsid w:val="7AD41622"/>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312FE"/>
    <w:rsid w:val="7B682767"/>
    <w:rsid w:val="7B6B63B3"/>
    <w:rsid w:val="7B6D2EE4"/>
    <w:rsid w:val="7B721623"/>
    <w:rsid w:val="7B77357A"/>
    <w:rsid w:val="7B8222D7"/>
    <w:rsid w:val="7B827C63"/>
    <w:rsid w:val="7B830CED"/>
    <w:rsid w:val="7B864D11"/>
    <w:rsid w:val="7B8C69E6"/>
    <w:rsid w:val="7B8F38AD"/>
    <w:rsid w:val="7BAB12DE"/>
    <w:rsid w:val="7BC24390"/>
    <w:rsid w:val="7BC5165B"/>
    <w:rsid w:val="7BCF2869"/>
    <w:rsid w:val="7BCF6C15"/>
    <w:rsid w:val="7BD90D2F"/>
    <w:rsid w:val="7BDC50B8"/>
    <w:rsid w:val="7BE450B6"/>
    <w:rsid w:val="7BE903F1"/>
    <w:rsid w:val="7BEF1C83"/>
    <w:rsid w:val="7C0229E6"/>
    <w:rsid w:val="7C04625C"/>
    <w:rsid w:val="7C075762"/>
    <w:rsid w:val="7C095B24"/>
    <w:rsid w:val="7C136915"/>
    <w:rsid w:val="7C2B5F03"/>
    <w:rsid w:val="7C2D166E"/>
    <w:rsid w:val="7C3004E9"/>
    <w:rsid w:val="7C402DC0"/>
    <w:rsid w:val="7C42146D"/>
    <w:rsid w:val="7C431890"/>
    <w:rsid w:val="7C455A03"/>
    <w:rsid w:val="7C46358F"/>
    <w:rsid w:val="7C5235E8"/>
    <w:rsid w:val="7C560E66"/>
    <w:rsid w:val="7C5A69A9"/>
    <w:rsid w:val="7C86627E"/>
    <w:rsid w:val="7C902C69"/>
    <w:rsid w:val="7C9B5E75"/>
    <w:rsid w:val="7C9E1DC2"/>
    <w:rsid w:val="7CA97FA9"/>
    <w:rsid w:val="7CB1607B"/>
    <w:rsid w:val="7CB22A7F"/>
    <w:rsid w:val="7CB3423C"/>
    <w:rsid w:val="7CB86601"/>
    <w:rsid w:val="7CCC5DCB"/>
    <w:rsid w:val="7CD5443E"/>
    <w:rsid w:val="7CD87C72"/>
    <w:rsid w:val="7CE713DA"/>
    <w:rsid w:val="7CFD4F92"/>
    <w:rsid w:val="7D0978C3"/>
    <w:rsid w:val="7D165668"/>
    <w:rsid w:val="7D1E7890"/>
    <w:rsid w:val="7D272F8B"/>
    <w:rsid w:val="7D296B44"/>
    <w:rsid w:val="7D2D63C4"/>
    <w:rsid w:val="7D3527F4"/>
    <w:rsid w:val="7D3828C0"/>
    <w:rsid w:val="7D3B7807"/>
    <w:rsid w:val="7D3D61DC"/>
    <w:rsid w:val="7D472501"/>
    <w:rsid w:val="7D6F4AB7"/>
    <w:rsid w:val="7D8E6B9B"/>
    <w:rsid w:val="7D8F6E98"/>
    <w:rsid w:val="7D9B5AE7"/>
    <w:rsid w:val="7D9C40A0"/>
    <w:rsid w:val="7D9D7BD9"/>
    <w:rsid w:val="7D9F6383"/>
    <w:rsid w:val="7DAC3944"/>
    <w:rsid w:val="7DB75882"/>
    <w:rsid w:val="7DBB11DB"/>
    <w:rsid w:val="7DCC5093"/>
    <w:rsid w:val="7DD33820"/>
    <w:rsid w:val="7DEF2BA0"/>
    <w:rsid w:val="7DF41B1B"/>
    <w:rsid w:val="7E0361AC"/>
    <w:rsid w:val="7E0D256D"/>
    <w:rsid w:val="7E0E521A"/>
    <w:rsid w:val="7E122526"/>
    <w:rsid w:val="7E142131"/>
    <w:rsid w:val="7E29173D"/>
    <w:rsid w:val="7E29625B"/>
    <w:rsid w:val="7E2A5025"/>
    <w:rsid w:val="7E3475ED"/>
    <w:rsid w:val="7E371CBF"/>
    <w:rsid w:val="7E3878B3"/>
    <w:rsid w:val="7E4705DD"/>
    <w:rsid w:val="7E4E20C0"/>
    <w:rsid w:val="7E51187F"/>
    <w:rsid w:val="7E5451F3"/>
    <w:rsid w:val="7E5A49F9"/>
    <w:rsid w:val="7E5D2F33"/>
    <w:rsid w:val="7E6D681F"/>
    <w:rsid w:val="7E742FE5"/>
    <w:rsid w:val="7E8B0A1A"/>
    <w:rsid w:val="7E9341F9"/>
    <w:rsid w:val="7E9533D1"/>
    <w:rsid w:val="7E977A27"/>
    <w:rsid w:val="7E9E133E"/>
    <w:rsid w:val="7EA42208"/>
    <w:rsid w:val="7EB2376F"/>
    <w:rsid w:val="7EB30370"/>
    <w:rsid w:val="7EC6658B"/>
    <w:rsid w:val="7ECF321E"/>
    <w:rsid w:val="7ED376FB"/>
    <w:rsid w:val="7EE61A0F"/>
    <w:rsid w:val="7EEB6599"/>
    <w:rsid w:val="7EF47E8E"/>
    <w:rsid w:val="7EF87786"/>
    <w:rsid w:val="7F001583"/>
    <w:rsid w:val="7F045366"/>
    <w:rsid w:val="7F064738"/>
    <w:rsid w:val="7F0661BC"/>
    <w:rsid w:val="7F0C4577"/>
    <w:rsid w:val="7F1461EA"/>
    <w:rsid w:val="7F153DD6"/>
    <w:rsid w:val="7F1C2950"/>
    <w:rsid w:val="7F225D7B"/>
    <w:rsid w:val="7F336E18"/>
    <w:rsid w:val="7F344AE7"/>
    <w:rsid w:val="7F39050D"/>
    <w:rsid w:val="7F3F11CB"/>
    <w:rsid w:val="7F484E4F"/>
    <w:rsid w:val="7F4D0362"/>
    <w:rsid w:val="7F580778"/>
    <w:rsid w:val="7F6B0CB3"/>
    <w:rsid w:val="7F6C22EA"/>
    <w:rsid w:val="7F702395"/>
    <w:rsid w:val="7F7E325D"/>
    <w:rsid w:val="7F8128FC"/>
    <w:rsid w:val="7F8248C7"/>
    <w:rsid w:val="7F8F0DA3"/>
    <w:rsid w:val="7F953A44"/>
    <w:rsid w:val="7FA32206"/>
    <w:rsid w:val="7FA54BBC"/>
    <w:rsid w:val="7FA67086"/>
    <w:rsid w:val="7FBA461D"/>
    <w:rsid w:val="7FC41AD7"/>
    <w:rsid w:val="7FCD7503"/>
    <w:rsid w:val="7FD51FC5"/>
    <w:rsid w:val="7FE252A4"/>
    <w:rsid w:val="7FE30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3"/>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4"/>
    <w:autoRedefine/>
    <w:qFormat/>
    <w:uiPriority w:val="0"/>
    <w:pPr>
      <w:widowControl/>
      <w:spacing w:line="360" w:lineRule="auto"/>
      <w:outlineLvl w:val="2"/>
    </w:pPr>
    <w:rPr>
      <w:b/>
      <w:bCs/>
      <w:kern w:val="0"/>
      <w:sz w:val="24"/>
    </w:rPr>
  </w:style>
  <w:style w:type="paragraph" w:styleId="5">
    <w:name w:val="heading 4"/>
    <w:basedOn w:val="1"/>
    <w:next w:val="1"/>
    <w:link w:val="55"/>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6"/>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57"/>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8"/>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9"/>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60"/>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4">
    <w:name w:val="Default Paragraph Font"/>
    <w:autoRedefine/>
    <w:unhideWhenUsed/>
    <w:qFormat/>
    <w:uiPriority w:val="1"/>
  </w:style>
  <w:style w:type="table" w:default="1" w:styleId="42">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1"/>
    <w:autoRedefine/>
    <w:qFormat/>
    <w:uiPriority w:val="0"/>
    <w:pPr>
      <w:shd w:val="clear" w:color="auto" w:fill="000080"/>
    </w:pPr>
  </w:style>
  <w:style w:type="paragraph" w:styleId="15">
    <w:name w:val="annotation text"/>
    <w:basedOn w:val="1"/>
    <w:link w:val="62"/>
    <w:autoRedefine/>
    <w:qFormat/>
    <w:uiPriority w:val="0"/>
    <w:pPr>
      <w:jc w:val="left"/>
    </w:pPr>
  </w:style>
  <w:style w:type="paragraph" w:styleId="16">
    <w:name w:val="Body Text 3"/>
    <w:basedOn w:val="1"/>
    <w:link w:val="63"/>
    <w:autoRedefine/>
    <w:unhideWhenUsed/>
    <w:qFormat/>
    <w:uiPriority w:val="99"/>
    <w:pPr>
      <w:widowControl/>
      <w:wordWrap w:val="0"/>
      <w:topLinePunct/>
      <w:adjustRightInd w:val="0"/>
      <w:snapToGrid w:val="0"/>
      <w:spacing w:after="120" w:afterLines="50" w:line="360" w:lineRule="auto"/>
      <w:ind w:firstLine="480" w:firstLineChars="200"/>
    </w:pPr>
    <w:rPr>
      <w:rFonts w:ascii="Calibri" w:hAnsi="Calibri"/>
      <w:sz w:val="16"/>
      <w:szCs w:val="16"/>
    </w:rPr>
  </w:style>
  <w:style w:type="paragraph" w:styleId="17">
    <w:name w:val="Body Text"/>
    <w:basedOn w:val="1"/>
    <w:next w:val="18"/>
    <w:link w:val="64"/>
    <w:autoRedefine/>
    <w:qFormat/>
    <w:uiPriority w:val="0"/>
    <w:pPr>
      <w:spacing w:after="120"/>
    </w:pPr>
  </w:style>
  <w:style w:type="paragraph" w:styleId="18">
    <w:name w:val="Body Text First Indent"/>
    <w:basedOn w:val="17"/>
    <w:autoRedefine/>
    <w:unhideWhenUsed/>
    <w:qFormat/>
    <w:uiPriority w:val="0"/>
    <w:pPr>
      <w:spacing w:after="120"/>
      <w:ind w:firstLine="420" w:firstLineChars="100"/>
    </w:pPr>
    <w:rPr>
      <w:sz w:val="30"/>
    </w:rPr>
  </w:style>
  <w:style w:type="paragraph" w:styleId="19">
    <w:name w:val="Body Text Indent"/>
    <w:basedOn w:val="1"/>
    <w:link w:val="65"/>
    <w:autoRedefine/>
    <w:qFormat/>
    <w:uiPriority w:val="0"/>
    <w:pPr>
      <w:spacing w:after="120"/>
      <w:ind w:left="420" w:leftChars="200"/>
    </w:p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1680" w:leftChars="800"/>
    </w:pPr>
    <w:rPr>
      <w:rFonts w:ascii="Calibri" w:hAnsi="Calibri"/>
      <w:szCs w:val="22"/>
    </w:rPr>
  </w:style>
  <w:style w:type="paragraph" w:styleId="22">
    <w:name w:val="toc 3"/>
    <w:basedOn w:val="1"/>
    <w:next w:val="1"/>
    <w:autoRedefine/>
    <w:qFormat/>
    <w:uiPriority w:val="39"/>
    <w:pPr>
      <w:ind w:left="840" w:leftChars="400"/>
    </w:pPr>
  </w:style>
  <w:style w:type="paragraph" w:styleId="23">
    <w:name w:val="Plain Text"/>
    <w:basedOn w:val="1"/>
    <w:link w:val="66"/>
    <w:autoRedefine/>
    <w:qFormat/>
    <w:uiPriority w:val="0"/>
    <w:rPr>
      <w:rFonts w:ascii="宋体" w:hAnsi="Courier New" w:eastAsia="仿宋_GB2312"/>
      <w:sz w:val="32"/>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Date"/>
    <w:basedOn w:val="1"/>
    <w:next w:val="1"/>
    <w:link w:val="67"/>
    <w:autoRedefine/>
    <w:qFormat/>
    <w:uiPriority w:val="0"/>
    <w:pPr>
      <w:ind w:left="100" w:leftChars="2500"/>
    </w:pPr>
  </w:style>
  <w:style w:type="paragraph" w:styleId="26">
    <w:name w:val="Body Text Indent 2"/>
    <w:basedOn w:val="1"/>
    <w:link w:val="68"/>
    <w:autoRedefine/>
    <w:qFormat/>
    <w:uiPriority w:val="0"/>
    <w:pPr>
      <w:autoSpaceDE w:val="0"/>
      <w:autoSpaceDN w:val="0"/>
      <w:adjustRightInd w:val="0"/>
      <w:spacing w:line="410" w:lineRule="atLeast"/>
      <w:ind w:left="480"/>
      <w:jc w:val="left"/>
    </w:pPr>
    <w:rPr>
      <w:rFonts w:ascii="宋体" w:hAnsi="Calibri"/>
      <w:color w:val="000000"/>
    </w:rPr>
  </w:style>
  <w:style w:type="paragraph" w:styleId="27">
    <w:name w:val="Balloon Text"/>
    <w:basedOn w:val="1"/>
    <w:link w:val="69"/>
    <w:autoRedefine/>
    <w:qFormat/>
    <w:uiPriority w:val="0"/>
    <w:rPr>
      <w:sz w:val="18"/>
      <w:szCs w:val="18"/>
    </w:rPr>
  </w:style>
  <w:style w:type="paragraph" w:styleId="28">
    <w:name w:val="footer"/>
    <w:basedOn w:val="1"/>
    <w:link w:val="70"/>
    <w:autoRedefine/>
    <w:qFormat/>
    <w:uiPriority w:val="99"/>
    <w:pPr>
      <w:tabs>
        <w:tab w:val="center" w:pos="4153"/>
        <w:tab w:val="right" w:pos="8306"/>
      </w:tabs>
      <w:snapToGrid w:val="0"/>
      <w:jc w:val="left"/>
    </w:pPr>
    <w:rPr>
      <w:sz w:val="18"/>
      <w:szCs w:val="18"/>
    </w:rPr>
  </w:style>
  <w:style w:type="paragraph" w:styleId="29">
    <w:name w:val="header"/>
    <w:basedOn w:val="1"/>
    <w:link w:val="71"/>
    <w:autoRedefine/>
    <w:qFormat/>
    <w:uiPriority w:val="99"/>
    <w:pPr>
      <w:tabs>
        <w:tab w:val="center" w:pos="4153"/>
        <w:tab w:val="right" w:pos="8306"/>
      </w:tabs>
      <w:snapToGrid w:val="0"/>
      <w:jc w:val="center"/>
    </w:pPr>
    <w:rPr>
      <w:sz w:val="18"/>
      <w:szCs w:val="18"/>
    </w:rPr>
  </w:style>
  <w:style w:type="paragraph" w:styleId="30">
    <w:name w:val="toc 1"/>
    <w:basedOn w:val="1"/>
    <w:next w:val="1"/>
    <w:autoRedefine/>
    <w:qFormat/>
    <w:uiPriority w:val="39"/>
  </w:style>
  <w:style w:type="paragraph" w:styleId="31">
    <w:name w:val="toc 4"/>
    <w:basedOn w:val="1"/>
    <w:next w:val="1"/>
    <w:autoRedefine/>
    <w:qFormat/>
    <w:uiPriority w:val="39"/>
    <w:pPr>
      <w:ind w:left="1260" w:leftChars="600"/>
    </w:pPr>
  </w:style>
  <w:style w:type="paragraph" w:styleId="32">
    <w:name w:val="Subtitle"/>
    <w:basedOn w:val="1"/>
    <w:next w:val="1"/>
    <w:link w:val="72"/>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Body Text Indent 3"/>
    <w:basedOn w:val="1"/>
    <w:link w:val="73"/>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autoRedefine/>
    <w:qFormat/>
    <w:uiPriority w:val="39"/>
    <w:pPr>
      <w:ind w:left="420" w:leftChars="200"/>
    </w:pPr>
  </w:style>
  <w:style w:type="paragraph" w:styleId="36">
    <w:name w:val="toc 9"/>
    <w:basedOn w:val="1"/>
    <w:next w:val="1"/>
    <w:autoRedefine/>
    <w:qFormat/>
    <w:uiPriority w:val="39"/>
    <w:pPr>
      <w:ind w:left="3360" w:leftChars="1600"/>
    </w:pPr>
    <w:rPr>
      <w:rFonts w:ascii="Calibri" w:hAnsi="Calibri"/>
      <w:szCs w:val="22"/>
    </w:rPr>
  </w:style>
  <w:style w:type="paragraph" w:styleId="37">
    <w:name w:val="Body Text 2"/>
    <w:basedOn w:val="1"/>
    <w:link w:val="74"/>
    <w:autoRedefine/>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szCs w:val="22"/>
    </w:rPr>
  </w:style>
  <w:style w:type="paragraph" w:styleId="38">
    <w:name w:val="HTML Preformatted"/>
    <w:basedOn w:val="1"/>
    <w:link w:val="7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kern w:val="0"/>
    </w:rPr>
  </w:style>
  <w:style w:type="paragraph" w:styleId="40">
    <w:name w:val="Title"/>
    <w:basedOn w:val="1"/>
    <w:next w:val="1"/>
    <w:link w:val="76"/>
    <w:autoRedefine/>
    <w:qFormat/>
    <w:uiPriority w:val="0"/>
    <w:pPr>
      <w:spacing w:before="240" w:after="60"/>
      <w:jc w:val="center"/>
      <w:outlineLvl w:val="0"/>
    </w:pPr>
    <w:rPr>
      <w:rFonts w:ascii="Cambria" w:hAnsi="Cambria"/>
      <w:b/>
      <w:sz w:val="32"/>
    </w:rPr>
  </w:style>
  <w:style w:type="paragraph" w:styleId="41">
    <w:name w:val="annotation subject"/>
    <w:basedOn w:val="15"/>
    <w:next w:val="15"/>
    <w:link w:val="77"/>
    <w:autoRedefine/>
    <w:qFormat/>
    <w:uiPriority w:val="0"/>
    <w:rPr>
      <w:b/>
      <w:bCs/>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autoRedefine/>
    <w:qFormat/>
    <w:uiPriority w:val="0"/>
    <w:rPr>
      <w:i/>
      <w:iCs/>
    </w:rPr>
  </w:style>
  <w:style w:type="character" w:styleId="49">
    <w:name w:val="Hyperlink"/>
    <w:autoRedefine/>
    <w:qFormat/>
    <w:uiPriority w:val="99"/>
    <w:rPr>
      <w:color w:val="0000FF"/>
      <w:u w:val="single"/>
    </w:rPr>
  </w:style>
  <w:style w:type="character" w:styleId="50">
    <w:name w:val="HTML Code"/>
    <w:autoRedefine/>
    <w:qFormat/>
    <w:uiPriority w:val="0"/>
    <w:rPr>
      <w:rFonts w:ascii="Courier New" w:hAnsi="Courier New"/>
      <w:sz w:val="20"/>
    </w:rPr>
  </w:style>
  <w:style w:type="character" w:styleId="51">
    <w:name w:val="annotation reference"/>
    <w:autoRedefine/>
    <w:qFormat/>
    <w:uiPriority w:val="99"/>
    <w:rPr>
      <w:sz w:val="21"/>
      <w:szCs w:val="21"/>
    </w:rPr>
  </w:style>
  <w:style w:type="character" w:customStyle="1" w:styleId="52">
    <w:name w:val="标题 1 Char"/>
    <w:link w:val="2"/>
    <w:autoRedefine/>
    <w:qFormat/>
    <w:uiPriority w:val="0"/>
    <w:rPr>
      <w:rFonts w:ascii="Cambria" w:hAnsi="Cambria"/>
      <w:b/>
      <w:bCs/>
      <w:kern w:val="32"/>
      <w:sz w:val="32"/>
      <w:szCs w:val="32"/>
    </w:rPr>
  </w:style>
  <w:style w:type="character" w:customStyle="1" w:styleId="53">
    <w:name w:val="标题 2 Char"/>
    <w:link w:val="3"/>
    <w:autoRedefine/>
    <w:qFormat/>
    <w:uiPriority w:val="0"/>
    <w:rPr>
      <w:rFonts w:ascii="Cambria" w:hAnsi="Cambria" w:eastAsia="宋体" w:cs="Times New Roman"/>
      <w:b/>
      <w:bCs/>
      <w:kern w:val="2"/>
      <w:sz w:val="32"/>
      <w:szCs w:val="32"/>
    </w:rPr>
  </w:style>
  <w:style w:type="character" w:customStyle="1" w:styleId="54">
    <w:name w:val="标题 3 Char"/>
    <w:link w:val="4"/>
    <w:autoRedefine/>
    <w:qFormat/>
    <w:uiPriority w:val="0"/>
    <w:rPr>
      <w:b/>
      <w:bCs/>
      <w:sz w:val="24"/>
      <w:szCs w:val="24"/>
    </w:rPr>
  </w:style>
  <w:style w:type="character" w:customStyle="1" w:styleId="55">
    <w:name w:val="标题 4 Char"/>
    <w:link w:val="5"/>
    <w:autoRedefine/>
    <w:qFormat/>
    <w:uiPriority w:val="0"/>
    <w:rPr>
      <w:rFonts w:ascii="Arial" w:hAnsi="Arial"/>
      <w:b/>
      <w:bCs/>
      <w:kern w:val="2"/>
      <w:sz w:val="21"/>
      <w:szCs w:val="28"/>
    </w:rPr>
  </w:style>
  <w:style w:type="character" w:customStyle="1" w:styleId="56">
    <w:name w:val="标题 5 Char"/>
    <w:link w:val="6"/>
    <w:autoRedefine/>
    <w:qFormat/>
    <w:uiPriority w:val="0"/>
    <w:rPr>
      <w:b/>
      <w:bCs/>
      <w:kern w:val="2"/>
      <w:sz w:val="28"/>
      <w:szCs w:val="28"/>
    </w:rPr>
  </w:style>
  <w:style w:type="character" w:customStyle="1" w:styleId="57">
    <w:name w:val="标题 6 Char"/>
    <w:link w:val="7"/>
    <w:autoRedefine/>
    <w:qFormat/>
    <w:uiPriority w:val="0"/>
    <w:rPr>
      <w:rFonts w:ascii="Arial" w:hAnsi="Arial" w:eastAsia="黑体"/>
      <w:b/>
      <w:bCs/>
      <w:sz w:val="24"/>
      <w:szCs w:val="24"/>
    </w:rPr>
  </w:style>
  <w:style w:type="character" w:customStyle="1" w:styleId="58">
    <w:name w:val="标题 7 Char"/>
    <w:link w:val="8"/>
    <w:autoRedefine/>
    <w:qFormat/>
    <w:uiPriority w:val="0"/>
    <w:rPr>
      <w:b/>
      <w:bCs/>
      <w:sz w:val="24"/>
      <w:szCs w:val="24"/>
    </w:rPr>
  </w:style>
  <w:style w:type="character" w:customStyle="1" w:styleId="59">
    <w:name w:val="标题 8 Char"/>
    <w:link w:val="9"/>
    <w:autoRedefine/>
    <w:qFormat/>
    <w:uiPriority w:val="0"/>
    <w:rPr>
      <w:rFonts w:ascii="Arial" w:hAnsi="Arial" w:eastAsia="黑体"/>
      <w:sz w:val="24"/>
      <w:szCs w:val="24"/>
    </w:rPr>
  </w:style>
  <w:style w:type="character" w:customStyle="1" w:styleId="60">
    <w:name w:val="标题 9 Char"/>
    <w:link w:val="10"/>
    <w:autoRedefine/>
    <w:qFormat/>
    <w:uiPriority w:val="0"/>
    <w:rPr>
      <w:rFonts w:ascii="Arial" w:hAnsi="Arial" w:eastAsia="黑体"/>
      <w:sz w:val="21"/>
      <w:szCs w:val="21"/>
    </w:rPr>
  </w:style>
  <w:style w:type="character" w:customStyle="1" w:styleId="61">
    <w:name w:val="文档结构图 Char"/>
    <w:link w:val="14"/>
    <w:autoRedefine/>
    <w:qFormat/>
    <w:uiPriority w:val="0"/>
    <w:rPr>
      <w:kern w:val="2"/>
      <w:sz w:val="21"/>
      <w:szCs w:val="24"/>
      <w:shd w:val="clear" w:color="auto" w:fill="000080"/>
    </w:rPr>
  </w:style>
  <w:style w:type="character" w:customStyle="1" w:styleId="62">
    <w:name w:val="批注文字 Char"/>
    <w:link w:val="15"/>
    <w:autoRedefine/>
    <w:qFormat/>
    <w:uiPriority w:val="0"/>
    <w:rPr>
      <w:kern w:val="2"/>
      <w:sz w:val="21"/>
      <w:szCs w:val="24"/>
    </w:rPr>
  </w:style>
  <w:style w:type="character" w:customStyle="1" w:styleId="63">
    <w:name w:val="正文文本 3 Char"/>
    <w:link w:val="16"/>
    <w:autoRedefine/>
    <w:qFormat/>
    <w:uiPriority w:val="99"/>
    <w:rPr>
      <w:rFonts w:ascii="Calibri" w:hAnsi="Calibri"/>
      <w:kern w:val="2"/>
      <w:sz w:val="16"/>
      <w:szCs w:val="16"/>
    </w:rPr>
  </w:style>
  <w:style w:type="character" w:customStyle="1" w:styleId="64">
    <w:name w:val="正文文本 Char"/>
    <w:link w:val="17"/>
    <w:autoRedefine/>
    <w:qFormat/>
    <w:uiPriority w:val="0"/>
    <w:rPr>
      <w:kern w:val="2"/>
      <w:sz w:val="21"/>
      <w:szCs w:val="24"/>
    </w:rPr>
  </w:style>
  <w:style w:type="character" w:customStyle="1" w:styleId="65">
    <w:name w:val="正文文本缩进 Char"/>
    <w:link w:val="19"/>
    <w:autoRedefine/>
    <w:qFormat/>
    <w:uiPriority w:val="0"/>
    <w:rPr>
      <w:kern w:val="2"/>
      <w:sz w:val="21"/>
      <w:szCs w:val="24"/>
    </w:rPr>
  </w:style>
  <w:style w:type="character" w:customStyle="1" w:styleId="66">
    <w:name w:val="纯文本 Char"/>
    <w:link w:val="23"/>
    <w:autoRedefine/>
    <w:qFormat/>
    <w:uiPriority w:val="0"/>
    <w:rPr>
      <w:rFonts w:ascii="宋体" w:hAnsi="Courier New" w:eastAsia="仿宋_GB2312"/>
      <w:kern w:val="2"/>
      <w:sz w:val="32"/>
      <w:szCs w:val="24"/>
    </w:rPr>
  </w:style>
  <w:style w:type="character" w:customStyle="1" w:styleId="67">
    <w:name w:val="日期 Char"/>
    <w:link w:val="25"/>
    <w:autoRedefine/>
    <w:qFormat/>
    <w:uiPriority w:val="0"/>
    <w:rPr>
      <w:kern w:val="2"/>
      <w:sz w:val="21"/>
      <w:szCs w:val="24"/>
    </w:rPr>
  </w:style>
  <w:style w:type="character" w:customStyle="1" w:styleId="68">
    <w:name w:val="正文文本缩进 2 Char"/>
    <w:link w:val="26"/>
    <w:autoRedefine/>
    <w:qFormat/>
    <w:uiPriority w:val="0"/>
    <w:rPr>
      <w:rFonts w:ascii="宋体" w:hAnsi="Calibri"/>
      <w:color w:val="000000"/>
      <w:kern w:val="2"/>
      <w:sz w:val="21"/>
      <w:szCs w:val="24"/>
    </w:rPr>
  </w:style>
  <w:style w:type="character" w:customStyle="1" w:styleId="69">
    <w:name w:val="批注框文本 Char"/>
    <w:link w:val="27"/>
    <w:autoRedefine/>
    <w:qFormat/>
    <w:uiPriority w:val="0"/>
    <w:rPr>
      <w:kern w:val="2"/>
      <w:sz w:val="18"/>
      <w:szCs w:val="18"/>
    </w:rPr>
  </w:style>
  <w:style w:type="character" w:customStyle="1" w:styleId="70">
    <w:name w:val="页脚 Char"/>
    <w:link w:val="28"/>
    <w:autoRedefine/>
    <w:qFormat/>
    <w:uiPriority w:val="99"/>
    <w:rPr>
      <w:kern w:val="2"/>
      <w:sz w:val="18"/>
      <w:szCs w:val="18"/>
    </w:rPr>
  </w:style>
  <w:style w:type="character" w:customStyle="1" w:styleId="71">
    <w:name w:val="页眉 Char"/>
    <w:link w:val="29"/>
    <w:autoRedefine/>
    <w:qFormat/>
    <w:uiPriority w:val="99"/>
    <w:rPr>
      <w:kern w:val="2"/>
      <w:sz w:val="18"/>
      <w:szCs w:val="18"/>
    </w:rPr>
  </w:style>
  <w:style w:type="character" w:customStyle="1" w:styleId="72">
    <w:name w:val="副标题 Char"/>
    <w:link w:val="32"/>
    <w:autoRedefine/>
    <w:qFormat/>
    <w:uiPriority w:val="0"/>
    <w:rPr>
      <w:rFonts w:ascii="Cambria" w:hAnsi="Cambria"/>
      <w:b/>
      <w:bCs/>
      <w:kern w:val="28"/>
      <w:sz w:val="32"/>
      <w:szCs w:val="32"/>
    </w:rPr>
  </w:style>
  <w:style w:type="character" w:customStyle="1" w:styleId="73">
    <w:name w:val="正文文本缩进 3 Char"/>
    <w:link w:val="34"/>
    <w:autoRedefine/>
    <w:qFormat/>
    <w:uiPriority w:val="0"/>
    <w:rPr>
      <w:rFonts w:ascii="宋体" w:hAnsi="MS Sans Serif"/>
      <w:color w:val="000000"/>
      <w:sz w:val="24"/>
    </w:rPr>
  </w:style>
  <w:style w:type="character" w:customStyle="1" w:styleId="74">
    <w:name w:val="正文文本 2 Char"/>
    <w:link w:val="37"/>
    <w:autoRedefine/>
    <w:qFormat/>
    <w:uiPriority w:val="99"/>
    <w:rPr>
      <w:rFonts w:ascii="Calibri" w:hAnsi="Calibri"/>
      <w:kern w:val="2"/>
      <w:sz w:val="24"/>
      <w:szCs w:val="22"/>
    </w:rPr>
  </w:style>
  <w:style w:type="character" w:customStyle="1" w:styleId="75">
    <w:name w:val="HTML 预设格式 Char"/>
    <w:link w:val="38"/>
    <w:autoRedefine/>
    <w:qFormat/>
    <w:uiPriority w:val="99"/>
    <w:rPr>
      <w:rFonts w:ascii="宋体" w:hAnsi="宋体" w:cs="宋体"/>
      <w:sz w:val="24"/>
      <w:szCs w:val="24"/>
    </w:rPr>
  </w:style>
  <w:style w:type="character" w:customStyle="1" w:styleId="76">
    <w:name w:val="标题 Char"/>
    <w:link w:val="40"/>
    <w:autoRedefine/>
    <w:qFormat/>
    <w:uiPriority w:val="0"/>
    <w:rPr>
      <w:rFonts w:ascii="Cambria" w:hAnsi="Cambria"/>
      <w:b/>
      <w:kern w:val="2"/>
      <w:sz w:val="32"/>
      <w:szCs w:val="24"/>
    </w:rPr>
  </w:style>
  <w:style w:type="character" w:customStyle="1" w:styleId="77">
    <w:name w:val="批注主题 Char"/>
    <w:link w:val="41"/>
    <w:autoRedefine/>
    <w:qFormat/>
    <w:uiPriority w:val="0"/>
    <w:rPr>
      <w:b/>
      <w:bCs/>
      <w:kern w:val="2"/>
      <w:sz w:val="21"/>
      <w:szCs w:val="24"/>
    </w:rPr>
  </w:style>
  <w:style w:type="character" w:customStyle="1" w:styleId="78">
    <w:name w:val="Font Style125"/>
    <w:autoRedefine/>
    <w:unhideWhenUsed/>
    <w:qFormat/>
    <w:uiPriority w:val="99"/>
    <w:rPr>
      <w:rFonts w:hint="eastAsia" w:ascii="宋体" w:hAnsi="宋体" w:eastAsia="宋体"/>
      <w:b/>
      <w:sz w:val="26"/>
    </w:rPr>
  </w:style>
  <w:style w:type="character" w:customStyle="1" w:styleId="79">
    <w:name w:val="明显引用 Char1"/>
    <w:autoRedefine/>
    <w:qFormat/>
    <w:uiPriority w:val="99"/>
    <w:rPr>
      <w:b/>
      <w:bCs/>
      <w:i/>
      <w:iCs/>
      <w:color w:val="4F81BD"/>
      <w:kern w:val="2"/>
      <w:sz w:val="21"/>
      <w:szCs w:val="24"/>
    </w:rPr>
  </w:style>
  <w:style w:type="character" w:customStyle="1" w:styleId="80">
    <w:name w:val="HTML 预设格式 字符1"/>
    <w:autoRedefine/>
    <w:semiHidden/>
    <w:qFormat/>
    <w:uiPriority w:val="0"/>
    <w:rPr>
      <w:rFonts w:ascii="Courier New" w:hAnsi="Courier New" w:cs="Courier New"/>
      <w:kern w:val="2"/>
    </w:rPr>
  </w:style>
  <w:style w:type="character" w:customStyle="1" w:styleId="81">
    <w:name w:val="标题 3 Char1"/>
    <w:autoRedefine/>
    <w:qFormat/>
    <w:uiPriority w:val="0"/>
    <w:rPr>
      <w:b/>
      <w:bCs/>
      <w:sz w:val="24"/>
      <w:szCs w:val="24"/>
    </w:rPr>
  </w:style>
  <w:style w:type="character" w:customStyle="1" w:styleId="82">
    <w:name w:val="引用 Char1"/>
    <w:autoRedefine/>
    <w:qFormat/>
    <w:uiPriority w:val="99"/>
    <w:rPr>
      <w:i/>
      <w:iCs/>
      <w:color w:val="000000"/>
      <w:kern w:val="2"/>
      <w:sz w:val="21"/>
      <w:szCs w:val="24"/>
    </w:rPr>
  </w:style>
  <w:style w:type="character" w:customStyle="1" w:styleId="83">
    <w:name w:val="Font Style94"/>
    <w:autoRedefine/>
    <w:unhideWhenUsed/>
    <w:qFormat/>
    <w:uiPriority w:val="99"/>
    <w:rPr>
      <w:rFonts w:hint="eastAsia" w:ascii="Times New Roman" w:hAnsi="Times New Roman" w:eastAsia="Times New Roman"/>
      <w:sz w:val="28"/>
    </w:rPr>
  </w:style>
  <w:style w:type="character" w:customStyle="1" w:styleId="84">
    <w:name w:val="日期 字符"/>
    <w:basedOn w:val="44"/>
    <w:autoRedefine/>
    <w:qFormat/>
    <w:uiPriority w:val="0"/>
  </w:style>
  <w:style w:type="character" w:customStyle="1" w:styleId="85">
    <w:name w:val="书籍标题1"/>
    <w:autoRedefine/>
    <w:qFormat/>
    <w:uiPriority w:val="0"/>
    <w:rPr>
      <w:b/>
      <w:bCs/>
      <w:smallCaps/>
      <w:spacing w:val="5"/>
    </w:rPr>
  </w:style>
  <w:style w:type="character" w:customStyle="1" w:styleId="86">
    <w:name w:val="页脚 Char1"/>
    <w:autoRedefine/>
    <w:semiHidden/>
    <w:qFormat/>
    <w:uiPriority w:val="99"/>
    <w:rPr>
      <w:rFonts w:ascii="Times New Roman" w:hAnsi="Times New Roman" w:eastAsia="宋体" w:cs="Times New Roman"/>
      <w:sz w:val="18"/>
      <w:szCs w:val="18"/>
    </w:rPr>
  </w:style>
  <w:style w:type="character" w:customStyle="1" w:styleId="87">
    <w:name w:val="正文文本 3 字符1"/>
    <w:autoRedefine/>
    <w:semiHidden/>
    <w:qFormat/>
    <w:uiPriority w:val="0"/>
    <w:rPr>
      <w:kern w:val="2"/>
      <w:sz w:val="16"/>
      <w:szCs w:val="16"/>
    </w:rPr>
  </w:style>
  <w:style w:type="character" w:customStyle="1" w:styleId="88">
    <w:name w:val="textcontents"/>
    <w:autoRedefine/>
    <w:qFormat/>
    <w:uiPriority w:val="0"/>
    <w:rPr>
      <w:rFonts w:cs="Times New Roman"/>
    </w:rPr>
  </w:style>
  <w:style w:type="character" w:customStyle="1" w:styleId="89">
    <w:name w:val="正文文本缩进 Char1"/>
    <w:autoRedefine/>
    <w:semiHidden/>
    <w:qFormat/>
    <w:uiPriority w:val="99"/>
    <w:rPr>
      <w:kern w:val="2"/>
      <w:sz w:val="21"/>
      <w:szCs w:val="24"/>
    </w:rPr>
  </w:style>
  <w:style w:type="character" w:styleId="90">
    <w:name w:val="Placeholder Text"/>
    <w:autoRedefine/>
    <w:unhideWhenUsed/>
    <w:qFormat/>
    <w:uiPriority w:val="99"/>
    <w:rPr>
      <w:color w:val="808080"/>
    </w:rPr>
  </w:style>
  <w:style w:type="character" w:customStyle="1" w:styleId="91">
    <w:name w:val="Font Style121"/>
    <w:autoRedefine/>
    <w:unhideWhenUsed/>
    <w:qFormat/>
    <w:uiPriority w:val="99"/>
    <w:rPr>
      <w:rFonts w:hint="eastAsia" w:ascii="宋体" w:hAnsi="宋体" w:eastAsia="宋体"/>
      <w:spacing w:val="-10"/>
      <w:sz w:val="30"/>
    </w:rPr>
  </w:style>
  <w:style w:type="character" w:customStyle="1" w:styleId="92">
    <w:name w:val="Font Style126"/>
    <w:autoRedefine/>
    <w:unhideWhenUsed/>
    <w:qFormat/>
    <w:uiPriority w:val="99"/>
    <w:rPr>
      <w:rFonts w:hint="eastAsia" w:ascii="宋体" w:hAnsi="宋体" w:eastAsia="宋体"/>
      <w:b/>
      <w:spacing w:val="-30"/>
      <w:sz w:val="28"/>
    </w:rPr>
  </w:style>
  <w:style w:type="character" w:customStyle="1" w:styleId="93">
    <w:name w:val="标题 Char1"/>
    <w:autoRedefine/>
    <w:qFormat/>
    <w:uiPriority w:val="0"/>
    <w:rPr>
      <w:rFonts w:ascii="Cambria" w:hAnsi="Cambria" w:eastAsia="宋体" w:cs="Times New Roman"/>
      <w:b/>
      <w:bCs/>
      <w:sz w:val="32"/>
      <w:szCs w:val="32"/>
    </w:rPr>
  </w:style>
  <w:style w:type="character" w:customStyle="1" w:styleId="94">
    <w:name w:val="Char Char141"/>
    <w:autoRedefine/>
    <w:qFormat/>
    <w:uiPriority w:val="0"/>
    <w:rPr>
      <w:rFonts w:ascii="Arial" w:hAnsi="Arial"/>
      <w:b/>
      <w:bCs/>
      <w:kern w:val="2"/>
      <w:sz w:val="21"/>
      <w:szCs w:val="28"/>
    </w:rPr>
  </w:style>
  <w:style w:type="character" w:customStyle="1" w:styleId="95">
    <w:name w:val="批注框文本 字符"/>
    <w:autoRedefine/>
    <w:semiHidden/>
    <w:qFormat/>
    <w:uiPriority w:val="99"/>
    <w:rPr>
      <w:sz w:val="18"/>
      <w:szCs w:val="18"/>
    </w:rPr>
  </w:style>
  <w:style w:type="character" w:customStyle="1" w:styleId="96">
    <w:name w:val="Font Style115"/>
    <w:autoRedefine/>
    <w:unhideWhenUsed/>
    <w:qFormat/>
    <w:uiPriority w:val="99"/>
    <w:rPr>
      <w:rFonts w:hint="eastAsia" w:ascii="Times New Roman" w:hAnsi="Times New Roman" w:eastAsia="Times New Roman"/>
      <w:sz w:val="16"/>
    </w:rPr>
  </w:style>
  <w:style w:type="character" w:customStyle="1" w:styleId="97">
    <w:name w:val="search-in-page-highlight-wrapper"/>
    <w:basedOn w:val="44"/>
    <w:autoRedefine/>
    <w:qFormat/>
    <w:uiPriority w:val="0"/>
  </w:style>
  <w:style w:type="character" w:customStyle="1" w:styleId="98">
    <w:name w:val="页脚 字符"/>
    <w:autoRedefine/>
    <w:qFormat/>
    <w:uiPriority w:val="99"/>
    <w:rPr>
      <w:rFonts w:ascii="宋体" w:hAnsi="宋体"/>
      <w:kern w:val="2"/>
      <w:sz w:val="18"/>
      <w:szCs w:val="18"/>
      <w:lang w:val="en-US" w:eastAsia="zh-CN" w:bidi="ar-SA"/>
    </w:rPr>
  </w:style>
  <w:style w:type="character" w:customStyle="1" w:styleId="99">
    <w:name w:val="样式1 字符"/>
    <w:link w:val="100"/>
    <w:autoRedefine/>
    <w:qFormat/>
    <w:uiPriority w:val="0"/>
    <w:rPr>
      <w:rFonts w:ascii="宋体" w:hAnsi="宋体"/>
      <w:kern w:val="2"/>
      <w:sz w:val="28"/>
    </w:rPr>
  </w:style>
  <w:style w:type="paragraph" w:customStyle="1" w:styleId="100">
    <w:name w:val="样式1"/>
    <w:basedOn w:val="1"/>
    <w:link w:val="99"/>
    <w:autoRedefine/>
    <w:qFormat/>
    <w:uiPriority w:val="0"/>
    <w:pPr>
      <w:tabs>
        <w:tab w:val="right" w:leader="dot" w:pos="10142"/>
      </w:tabs>
      <w:autoSpaceDN w:val="0"/>
    </w:pPr>
    <w:rPr>
      <w:rFonts w:ascii="宋体" w:hAnsi="宋体"/>
      <w:sz w:val="28"/>
      <w:szCs w:val="20"/>
    </w:rPr>
  </w:style>
  <w:style w:type="character" w:customStyle="1" w:styleId="101">
    <w:name w:val="正文文本 2 字符1"/>
    <w:autoRedefine/>
    <w:semiHidden/>
    <w:qFormat/>
    <w:uiPriority w:val="0"/>
    <w:rPr>
      <w:kern w:val="2"/>
      <w:sz w:val="21"/>
      <w:szCs w:val="24"/>
    </w:rPr>
  </w:style>
  <w:style w:type="character" w:customStyle="1" w:styleId="102">
    <w:name w:val="标题 7 字符"/>
    <w:autoRedefine/>
    <w:qFormat/>
    <w:uiPriority w:val="0"/>
    <w:rPr>
      <w:rFonts w:ascii="CG Times" w:hAnsi="CG Times"/>
      <w:sz w:val="22"/>
      <w:lang w:val="en-GB"/>
    </w:rPr>
  </w:style>
  <w:style w:type="character" w:customStyle="1" w:styleId="103">
    <w:name w:val="Font Style86"/>
    <w:autoRedefine/>
    <w:unhideWhenUsed/>
    <w:qFormat/>
    <w:uiPriority w:val="99"/>
    <w:rPr>
      <w:rFonts w:hint="eastAsia" w:ascii="黑体" w:hAnsi="黑体" w:eastAsia="黑体"/>
      <w:spacing w:val="10"/>
      <w:sz w:val="30"/>
    </w:rPr>
  </w:style>
  <w:style w:type="character" w:customStyle="1" w:styleId="104">
    <w:name w:val="日期 Char1"/>
    <w:autoRedefine/>
    <w:qFormat/>
    <w:uiPriority w:val="0"/>
    <w:rPr>
      <w:rFonts w:ascii="Times New Roman" w:hAnsi="Times New Roman" w:eastAsia="宋体" w:cs="Times New Roman"/>
      <w:szCs w:val="24"/>
    </w:rPr>
  </w:style>
  <w:style w:type="character" w:customStyle="1" w:styleId="105">
    <w:name w:val="正文文本 字符"/>
    <w:autoRedefine/>
    <w:qFormat/>
    <w:uiPriority w:val="99"/>
    <w:rPr>
      <w:rFonts w:ascii="Calibri" w:hAnsi="Calibri" w:eastAsia="宋体" w:cs="Times New Roman"/>
      <w:kern w:val="2"/>
      <w:sz w:val="24"/>
      <w:szCs w:val="22"/>
    </w:rPr>
  </w:style>
  <w:style w:type="character" w:customStyle="1" w:styleId="106">
    <w:name w:val="未处理的提及2"/>
    <w:autoRedefine/>
    <w:unhideWhenUsed/>
    <w:qFormat/>
    <w:uiPriority w:val="99"/>
    <w:rPr>
      <w:color w:val="605E5C"/>
      <w:shd w:val="clear" w:color="auto" w:fill="E1DFDD"/>
    </w:rPr>
  </w:style>
  <w:style w:type="character" w:customStyle="1" w:styleId="107">
    <w:name w:val="law-parenthese"/>
    <w:basedOn w:val="44"/>
    <w:autoRedefine/>
    <w:qFormat/>
    <w:uiPriority w:val="0"/>
  </w:style>
  <w:style w:type="character" w:customStyle="1" w:styleId="108">
    <w:name w:val="未处理的提及1"/>
    <w:autoRedefine/>
    <w:unhideWhenUsed/>
    <w:qFormat/>
    <w:uiPriority w:val="99"/>
    <w:rPr>
      <w:color w:val="605E5C"/>
      <w:shd w:val="clear" w:color="auto" w:fill="E1DFDD"/>
    </w:rPr>
  </w:style>
  <w:style w:type="character" w:customStyle="1" w:styleId="109">
    <w:name w:val="标题 9 字符"/>
    <w:autoRedefine/>
    <w:qFormat/>
    <w:uiPriority w:val="0"/>
    <w:rPr>
      <w:rFonts w:ascii="CG Times" w:hAnsi="CG Times"/>
      <w:b/>
      <w:smallCaps/>
      <w:sz w:val="21"/>
      <w:lang w:val="en-GB"/>
    </w:rPr>
  </w:style>
  <w:style w:type="character" w:customStyle="1" w:styleId="110">
    <w:name w:val="search-in-page-highlight-item"/>
    <w:basedOn w:val="44"/>
    <w:autoRedefine/>
    <w:qFormat/>
    <w:uiPriority w:val="0"/>
  </w:style>
  <w:style w:type="character" w:customStyle="1" w:styleId="111">
    <w:name w:val="副标题 Char1"/>
    <w:autoRedefine/>
    <w:qFormat/>
    <w:uiPriority w:val="11"/>
    <w:rPr>
      <w:rFonts w:ascii="Cambria" w:hAnsi="Cambria" w:cs="Times New Roman"/>
      <w:b/>
      <w:bCs/>
      <w:kern w:val="28"/>
      <w:sz w:val="32"/>
      <w:szCs w:val="32"/>
    </w:rPr>
  </w:style>
  <w:style w:type="character" w:customStyle="1" w:styleId="112">
    <w:name w:val="批注文字 Char Char"/>
    <w:autoRedefine/>
    <w:qFormat/>
    <w:uiPriority w:val="0"/>
    <w:rPr>
      <w:kern w:val="2"/>
      <w:sz w:val="21"/>
      <w:szCs w:val="24"/>
      <w:lang w:bidi="ar-SA"/>
    </w:rPr>
  </w:style>
  <w:style w:type="character" w:customStyle="1" w:styleId="113">
    <w:name w:val="Font Style128"/>
    <w:autoRedefine/>
    <w:unhideWhenUsed/>
    <w:qFormat/>
    <w:uiPriority w:val="99"/>
    <w:rPr>
      <w:rFonts w:hint="eastAsia" w:ascii="Times New Roman" w:hAnsi="Times New Roman" w:eastAsia="Times New Roman"/>
      <w:sz w:val="16"/>
    </w:rPr>
  </w:style>
  <w:style w:type="character" w:customStyle="1" w:styleId="114">
    <w:name w:val="引用 Char"/>
    <w:link w:val="115"/>
    <w:autoRedefine/>
    <w:qFormat/>
    <w:uiPriority w:val="0"/>
    <w:rPr>
      <w:i/>
      <w:iCs/>
      <w:color w:val="000000"/>
      <w:kern w:val="2"/>
      <w:sz w:val="21"/>
      <w:szCs w:val="22"/>
    </w:rPr>
  </w:style>
  <w:style w:type="paragraph" w:styleId="115">
    <w:name w:val="Quote"/>
    <w:basedOn w:val="1"/>
    <w:next w:val="1"/>
    <w:link w:val="114"/>
    <w:autoRedefine/>
    <w:qFormat/>
    <w:uiPriority w:val="0"/>
    <w:rPr>
      <w:i/>
      <w:iCs/>
      <w:color w:val="000000"/>
      <w:szCs w:val="22"/>
    </w:rPr>
  </w:style>
  <w:style w:type="character" w:customStyle="1" w:styleId="116">
    <w:name w:val="明显参考1"/>
    <w:autoRedefine/>
    <w:qFormat/>
    <w:uiPriority w:val="0"/>
    <w:rPr>
      <w:b/>
      <w:bCs/>
      <w:smallCaps/>
      <w:color w:val="C0504D"/>
      <w:spacing w:val="5"/>
      <w:u w:val="single"/>
    </w:rPr>
  </w:style>
  <w:style w:type="character" w:customStyle="1" w:styleId="117">
    <w:name w:val="文档结构图 字符"/>
    <w:autoRedefine/>
    <w:semiHidden/>
    <w:qFormat/>
    <w:uiPriority w:val="99"/>
    <w:rPr>
      <w:rFonts w:ascii="宋体" w:hAnsi="Calibri" w:cs="Times New Roman"/>
      <w:kern w:val="2"/>
      <w:sz w:val="24"/>
      <w:szCs w:val="24"/>
    </w:rPr>
  </w:style>
  <w:style w:type="character" w:customStyle="1" w:styleId="118">
    <w:name w:val="content"/>
    <w:basedOn w:val="44"/>
    <w:autoRedefine/>
    <w:qFormat/>
    <w:uiPriority w:val="0"/>
  </w:style>
  <w:style w:type="character" w:customStyle="1" w:styleId="119">
    <w:name w:val="标题 4 Char Char"/>
    <w:autoRedefine/>
    <w:qFormat/>
    <w:uiPriority w:val="0"/>
    <w:rPr>
      <w:rFonts w:ascii="Arial" w:hAnsi="Arial" w:eastAsia="宋体"/>
      <w:b/>
      <w:bCs/>
      <w:kern w:val="2"/>
      <w:sz w:val="21"/>
      <w:szCs w:val="28"/>
      <w:lang w:val="en-US" w:eastAsia="zh-CN" w:bidi="ar-SA"/>
    </w:rPr>
  </w:style>
  <w:style w:type="character" w:customStyle="1" w:styleId="120">
    <w:name w:val="标题 4 Char_1_0"/>
    <w:link w:val="121"/>
    <w:autoRedefine/>
    <w:qFormat/>
    <w:uiPriority w:val="0"/>
    <w:rPr>
      <w:rFonts w:ascii="Arial" w:hAnsi="Arial"/>
      <w:b/>
      <w:bCs/>
      <w:kern w:val="2"/>
      <w:sz w:val="21"/>
      <w:szCs w:val="28"/>
    </w:rPr>
  </w:style>
  <w:style w:type="paragraph" w:customStyle="1" w:styleId="121">
    <w:name w:val="标题 4_1_0"/>
    <w:basedOn w:val="122"/>
    <w:next w:val="122"/>
    <w:link w:val="120"/>
    <w:autoRedefine/>
    <w:qFormat/>
    <w:uiPriority w:val="0"/>
    <w:pPr>
      <w:keepNext/>
      <w:keepLines/>
      <w:spacing w:line="360" w:lineRule="auto"/>
      <w:outlineLvl w:val="3"/>
    </w:pPr>
    <w:rPr>
      <w:rFonts w:ascii="Arial" w:hAnsi="Arial"/>
      <w:b/>
      <w:bCs/>
      <w:szCs w:val="28"/>
    </w:rPr>
  </w:style>
  <w:style w:type="paragraph" w:customStyle="1" w:styleId="122">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批注主题 Char1"/>
    <w:autoRedefine/>
    <w:qFormat/>
    <w:uiPriority w:val="0"/>
    <w:rPr>
      <w:rFonts w:ascii="Times New Roman" w:hAnsi="Times New Roman" w:eastAsia="宋体" w:cs="Times New Roman"/>
      <w:b/>
      <w:bCs/>
      <w:szCs w:val="24"/>
    </w:rPr>
  </w:style>
  <w:style w:type="character" w:customStyle="1" w:styleId="124">
    <w:name w:val="标题4 Char Char"/>
    <w:link w:val="125"/>
    <w:autoRedefine/>
    <w:qFormat/>
    <w:uiPriority w:val="0"/>
    <w:rPr>
      <w:rFonts w:ascii="Arial" w:hAnsi="Arial"/>
      <w:b/>
      <w:bCs/>
      <w:sz w:val="24"/>
      <w:szCs w:val="32"/>
    </w:rPr>
  </w:style>
  <w:style w:type="paragraph" w:customStyle="1" w:styleId="125">
    <w:name w:val="标题4"/>
    <w:basedOn w:val="3"/>
    <w:next w:val="20"/>
    <w:link w:val="124"/>
    <w:autoRedefine/>
    <w:qFormat/>
    <w:uiPriority w:val="0"/>
    <w:rPr>
      <w:rFonts w:ascii="Arial" w:hAnsi="Arial"/>
      <w:kern w:val="0"/>
      <w:sz w:val="24"/>
    </w:rPr>
  </w:style>
  <w:style w:type="character" w:customStyle="1" w:styleId="126">
    <w:name w:val="标题 6 字符"/>
    <w:autoRedefine/>
    <w:semiHidden/>
    <w:qFormat/>
    <w:uiPriority w:val="9"/>
    <w:rPr>
      <w:rFonts w:ascii="Calibri Light" w:hAnsi="Calibri Light" w:eastAsia="宋体" w:cs="Times New Roman"/>
      <w:b/>
      <w:bCs/>
      <w:kern w:val="2"/>
      <w:sz w:val="24"/>
      <w:szCs w:val="24"/>
    </w:rPr>
  </w:style>
  <w:style w:type="character" w:customStyle="1" w:styleId="127">
    <w:name w:val="Font Style116"/>
    <w:autoRedefine/>
    <w:unhideWhenUsed/>
    <w:qFormat/>
    <w:uiPriority w:val="99"/>
    <w:rPr>
      <w:rFonts w:hint="eastAsia" w:ascii="宋体" w:hAnsi="宋体" w:eastAsia="宋体"/>
      <w:spacing w:val="-20"/>
      <w:sz w:val="24"/>
    </w:rPr>
  </w:style>
  <w:style w:type="character" w:customStyle="1" w:styleId="128">
    <w:name w:val="Char Char14"/>
    <w:autoRedefine/>
    <w:qFormat/>
    <w:uiPriority w:val="0"/>
    <w:rPr>
      <w:rFonts w:ascii="Arial" w:hAnsi="Arial"/>
      <w:b/>
      <w:bCs/>
      <w:kern w:val="2"/>
      <w:sz w:val="21"/>
      <w:szCs w:val="28"/>
    </w:rPr>
  </w:style>
  <w:style w:type="character" w:customStyle="1" w:styleId="129">
    <w:name w:val="不明显参考1"/>
    <w:autoRedefine/>
    <w:qFormat/>
    <w:uiPriority w:val="0"/>
    <w:rPr>
      <w:smallCaps/>
      <w:color w:val="C0504D"/>
      <w:u w:val="single"/>
    </w:rPr>
  </w:style>
  <w:style w:type="character" w:customStyle="1" w:styleId="130">
    <w:name w:val="正文文本缩进 2 Char1"/>
    <w:autoRedefine/>
    <w:semiHidden/>
    <w:qFormat/>
    <w:uiPriority w:val="0"/>
    <w:rPr>
      <w:kern w:val="2"/>
      <w:sz w:val="21"/>
      <w:szCs w:val="24"/>
    </w:rPr>
  </w:style>
  <w:style w:type="character" w:customStyle="1" w:styleId="131">
    <w:name w:val="未处理的提及3"/>
    <w:autoRedefine/>
    <w:unhideWhenUsed/>
    <w:qFormat/>
    <w:uiPriority w:val="99"/>
    <w:rPr>
      <w:color w:val="605E5C"/>
      <w:shd w:val="clear" w:color="auto" w:fill="E1DFDD"/>
    </w:rPr>
  </w:style>
  <w:style w:type="character" w:customStyle="1" w:styleId="132">
    <w:name w:val="正文文本缩进 3 Char1"/>
    <w:autoRedefine/>
    <w:qFormat/>
    <w:uiPriority w:val="0"/>
    <w:rPr>
      <w:rFonts w:ascii="Times New Roman" w:hAnsi="Times New Roman" w:eastAsia="宋体" w:cs="Times New Roman"/>
      <w:sz w:val="16"/>
      <w:szCs w:val="16"/>
    </w:rPr>
  </w:style>
  <w:style w:type="character" w:customStyle="1" w:styleId="133">
    <w:name w:val="标题 3 字符"/>
    <w:autoRedefine/>
    <w:qFormat/>
    <w:uiPriority w:val="0"/>
    <w:rPr>
      <w:rFonts w:ascii="宋体" w:hAnsi="Calibri" w:cs="Times New Roman"/>
      <w:b/>
      <w:kern w:val="2"/>
      <w:sz w:val="24"/>
      <w:szCs w:val="22"/>
    </w:rPr>
  </w:style>
  <w:style w:type="character" w:customStyle="1" w:styleId="134">
    <w:name w:val="纯文本 Char Char"/>
    <w:autoRedefine/>
    <w:qFormat/>
    <w:uiPriority w:val="0"/>
    <w:rPr>
      <w:rFonts w:ascii="宋体" w:hAnsi="Courier New" w:eastAsia="仿宋_GB2312"/>
      <w:kern w:val="2"/>
      <w:sz w:val="32"/>
      <w:szCs w:val="24"/>
      <w:lang w:bidi="ar-SA"/>
    </w:rPr>
  </w:style>
  <w:style w:type="character" w:customStyle="1" w:styleId="135">
    <w:name w:val="Font Style119"/>
    <w:autoRedefine/>
    <w:unhideWhenUsed/>
    <w:qFormat/>
    <w:uiPriority w:val="99"/>
    <w:rPr>
      <w:rFonts w:hint="eastAsia" w:ascii="宋体" w:hAnsi="宋体" w:eastAsia="宋体"/>
      <w:sz w:val="24"/>
    </w:rPr>
  </w:style>
  <w:style w:type="character" w:customStyle="1" w:styleId="136">
    <w:name w:val="明显引用 Char"/>
    <w:link w:val="137"/>
    <w:autoRedefine/>
    <w:qFormat/>
    <w:uiPriority w:val="0"/>
    <w:rPr>
      <w:b/>
      <w:bCs/>
      <w:i/>
      <w:iCs/>
      <w:color w:val="4F81BD"/>
      <w:kern w:val="2"/>
      <w:sz w:val="21"/>
      <w:szCs w:val="22"/>
    </w:rPr>
  </w:style>
  <w:style w:type="paragraph" w:styleId="137">
    <w:name w:val="Intense Quote"/>
    <w:basedOn w:val="1"/>
    <w:next w:val="1"/>
    <w:link w:val="136"/>
    <w:autoRedefine/>
    <w:qFormat/>
    <w:uiPriority w:val="0"/>
    <w:pPr>
      <w:pBdr>
        <w:bottom w:val="single" w:color="4F81BD" w:sz="4" w:space="4"/>
      </w:pBdr>
      <w:spacing w:before="200" w:after="280"/>
      <w:ind w:left="936" w:right="936"/>
    </w:pPr>
    <w:rPr>
      <w:b/>
      <w:bCs/>
      <w:i/>
      <w:iCs/>
      <w:color w:val="4F81BD"/>
      <w:szCs w:val="22"/>
    </w:rPr>
  </w:style>
  <w:style w:type="character" w:customStyle="1" w:styleId="138">
    <w:name w:val="Font Style122"/>
    <w:autoRedefine/>
    <w:unhideWhenUsed/>
    <w:qFormat/>
    <w:uiPriority w:val="99"/>
    <w:rPr>
      <w:rFonts w:hint="eastAsia" w:ascii="宋体" w:hAnsi="宋体" w:eastAsia="宋体"/>
      <w:spacing w:val="20"/>
      <w:sz w:val="24"/>
    </w:rPr>
  </w:style>
  <w:style w:type="character" w:customStyle="1" w:styleId="139">
    <w:name w:val="批注文字 Char1"/>
    <w:autoRedefine/>
    <w:semiHidden/>
    <w:qFormat/>
    <w:uiPriority w:val="99"/>
    <w:rPr>
      <w:rFonts w:ascii="Times New Roman" w:hAnsi="Times New Roman" w:eastAsia="宋体" w:cs="Times New Roman"/>
      <w:szCs w:val="24"/>
    </w:rPr>
  </w:style>
  <w:style w:type="character" w:customStyle="1" w:styleId="140">
    <w:name w:val="未处理的提及"/>
    <w:autoRedefine/>
    <w:unhideWhenUsed/>
    <w:qFormat/>
    <w:uiPriority w:val="99"/>
    <w:rPr>
      <w:color w:val="605E5C"/>
      <w:shd w:val="clear" w:color="auto" w:fill="E1DFDD"/>
    </w:rPr>
  </w:style>
  <w:style w:type="character" w:customStyle="1" w:styleId="141">
    <w:name w:val="Font Style123"/>
    <w:autoRedefine/>
    <w:unhideWhenUsed/>
    <w:qFormat/>
    <w:uiPriority w:val="99"/>
    <w:rPr>
      <w:rFonts w:hint="eastAsia" w:ascii="宋体" w:hAnsi="宋体" w:eastAsia="宋体"/>
      <w:b/>
      <w:sz w:val="32"/>
    </w:rPr>
  </w:style>
  <w:style w:type="character" w:customStyle="1" w:styleId="142">
    <w:name w:val="页眉 字符"/>
    <w:autoRedefine/>
    <w:qFormat/>
    <w:uiPriority w:val="99"/>
    <w:rPr>
      <w:rFonts w:ascii="宋体" w:hAnsi="宋体" w:cs="Times New Roman"/>
      <w:kern w:val="2"/>
      <w:sz w:val="18"/>
      <w:szCs w:val="18"/>
    </w:rPr>
  </w:style>
  <w:style w:type="character" w:customStyle="1" w:styleId="143">
    <w:name w:val="标题 4 Char1"/>
    <w:autoRedefine/>
    <w:qFormat/>
    <w:uiPriority w:val="0"/>
    <w:rPr>
      <w:rFonts w:ascii="Arial" w:hAnsi="Arial" w:eastAsia="宋体" w:cs="Times New Roman"/>
      <w:b/>
      <w:bCs/>
      <w:szCs w:val="28"/>
    </w:rPr>
  </w:style>
  <w:style w:type="character" w:customStyle="1" w:styleId="144">
    <w:name w:val="p0 Char Char"/>
    <w:autoRedefine/>
    <w:qFormat/>
    <w:uiPriority w:val="0"/>
    <w:rPr>
      <w:rFonts w:eastAsia="宋体"/>
      <w:kern w:val="2"/>
      <w:sz w:val="21"/>
      <w:szCs w:val="21"/>
      <w:lang w:val="en-US" w:eastAsia="zh-CN" w:bidi="ar-SA"/>
    </w:rPr>
  </w:style>
  <w:style w:type="character" w:customStyle="1" w:styleId="145">
    <w:name w:val="批注文字 字符"/>
    <w:autoRedefine/>
    <w:qFormat/>
    <w:uiPriority w:val="99"/>
    <w:rPr>
      <w:rFonts w:ascii="Calibri" w:hAnsi="Calibri" w:eastAsia="宋体" w:cs="Times New Roman"/>
      <w:kern w:val="2"/>
      <w:sz w:val="24"/>
      <w:szCs w:val="22"/>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keepNext/>
      <w:keepLines/>
      <w:widowControl w:val="0"/>
      <w:spacing w:before="260" w:after="260" w:line="413" w:lineRule="auto"/>
    </w:pPr>
    <w:rPr>
      <w:rFonts w:ascii="Arial" w:hAnsi="Arial"/>
      <w:szCs w:val="32"/>
    </w:rPr>
  </w:style>
  <w:style w:type="character" w:customStyle="1" w:styleId="148">
    <w:name w:val="明显强调1"/>
    <w:autoRedefine/>
    <w:qFormat/>
    <w:uiPriority w:val="0"/>
    <w:rPr>
      <w:b/>
      <w:bCs/>
      <w:i/>
      <w:iCs/>
      <w:color w:val="4F81BD"/>
    </w:rPr>
  </w:style>
  <w:style w:type="character" w:customStyle="1" w:styleId="149">
    <w:name w:val="不明显强调1"/>
    <w:autoRedefine/>
    <w:qFormat/>
    <w:uiPriority w:val="0"/>
    <w:rPr>
      <w:i/>
      <w:iCs/>
      <w:color w:val="808080"/>
    </w:rPr>
  </w:style>
  <w:style w:type="character" w:customStyle="1" w:styleId="150">
    <w:name w:val="副标题 字符"/>
    <w:autoRedefine/>
    <w:qFormat/>
    <w:uiPriority w:val="11"/>
    <w:rPr>
      <w:rFonts w:ascii="宋体" w:hAnsi="宋体"/>
      <w:b/>
      <w:bCs/>
      <w:kern w:val="28"/>
      <w:sz w:val="24"/>
      <w:szCs w:val="32"/>
      <w:lang w:val="en-US" w:eastAsia="zh-CN" w:bidi="ar-SA"/>
    </w:rPr>
  </w:style>
  <w:style w:type="character" w:customStyle="1" w:styleId="151">
    <w:name w:val="Font Style117"/>
    <w:autoRedefine/>
    <w:unhideWhenUsed/>
    <w:qFormat/>
    <w:uiPriority w:val="99"/>
    <w:rPr>
      <w:rFonts w:hint="eastAsia" w:ascii="宋体" w:hAnsi="宋体" w:eastAsia="宋体"/>
      <w:spacing w:val="20"/>
      <w:sz w:val="24"/>
    </w:rPr>
  </w:style>
  <w:style w:type="character" w:customStyle="1" w:styleId="152">
    <w:name w:val="refer-count"/>
    <w:basedOn w:val="44"/>
    <w:autoRedefine/>
    <w:qFormat/>
    <w:uiPriority w:val="0"/>
  </w:style>
  <w:style w:type="character" w:customStyle="1" w:styleId="153">
    <w:name w:val="标题 5 字符"/>
    <w:autoRedefine/>
    <w:qFormat/>
    <w:uiPriority w:val="9"/>
    <w:rPr>
      <w:b/>
      <w:bCs/>
      <w:kern w:val="2"/>
      <w:sz w:val="28"/>
      <w:szCs w:val="28"/>
    </w:rPr>
  </w:style>
  <w:style w:type="character" w:customStyle="1" w:styleId="154">
    <w:name w:val="p0 Char"/>
    <w:link w:val="155"/>
    <w:autoRedefine/>
    <w:qFormat/>
    <w:uiPriority w:val="0"/>
    <w:rPr>
      <w:rFonts w:eastAsia="宋体"/>
      <w:kern w:val="2"/>
      <w:sz w:val="21"/>
      <w:szCs w:val="21"/>
      <w:lang w:val="en-US" w:eastAsia="zh-CN" w:bidi="ar-SA"/>
    </w:rPr>
  </w:style>
  <w:style w:type="paragraph" w:customStyle="1" w:styleId="155">
    <w:name w:val="p0"/>
    <w:basedOn w:val="1"/>
    <w:link w:val="154"/>
    <w:autoRedefine/>
    <w:qFormat/>
    <w:uiPriority w:val="0"/>
    <w:pPr>
      <w:widowControl/>
    </w:pPr>
    <w:rPr>
      <w:szCs w:val="21"/>
    </w:rPr>
  </w:style>
  <w:style w:type="character" w:customStyle="1" w:styleId="156">
    <w:name w:val="纯文本 Char1"/>
    <w:autoRedefine/>
    <w:qFormat/>
    <w:uiPriority w:val="0"/>
    <w:rPr>
      <w:rFonts w:ascii="宋体" w:hAnsi="Courier New" w:eastAsia="宋体" w:cs="Courier New"/>
      <w:szCs w:val="21"/>
    </w:rPr>
  </w:style>
  <w:style w:type="character" w:customStyle="1" w:styleId="157">
    <w:name w:val="批注框文本 Char1"/>
    <w:autoRedefine/>
    <w:qFormat/>
    <w:uiPriority w:val="0"/>
    <w:rPr>
      <w:rFonts w:ascii="Times New Roman" w:hAnsi="Times New Roman" w:eastAsia="宋体" w:cs="Times New Roman"/>
      <w:sz w:val="18"/>
      <w:szCs w:val="18"/>
    </w:rPr>
  </w:style>
  <w:style w:type="character" w:customStyle="1" w:styleId="158">
    <w:name w:val="Font Style124"/>
    <w:autoRedefine/>
    <w:unhideWhenUsed/>
    <w:qFormat/>
    <w:uiPriority w:val="99"/>
    <w:rPr>
      <w:rFonts w:hint="eastAsia" w:ascii="宋体" w:hAnsi="宋体" w:eastAsia="宋体"/>
      <w:spacing w:val="30"/>
      <w:sz w:val="24"/>
    </w:rPr>
  </w:style>
  <w:style w:type="character" w:customStyle="1" w:styleId="159">
    <w:name w:val="Font Style127"/>
    <w:autoRedefine/>
    <w:unhideWhenUsed/>
    <w:qFormat/>
    <w:uiPriority w:val="99"/>
    <w:rPr>
      <w:rFonts w:hint="eastAsia" w:ascii="Times New Roman" w:hAnsi="Times New Roman" w:eastAsia="Times New Roman"/>
      <w:sz w:val="20"/>
    </w:rPr>
  </w:style>
  <w:style w:type="character" w:customStyle="1" w:styleId="160">
    <w:name w:val="标题 1 字符"/>
    <w:autoRedefine/>
    <w:qFormat/>
    <w:uiPriority w:val="9"/>
    <w:rPr>
      <w:b/>
      <w:kern w:val="44"/>
      <w:sz w:val="30"/>
      <w:szCs w:val="22"/>
      <w:lang w:bidi="ar-SA"/>
    </w:rPr>
  </w:style>
  <w:style w:type="character" w:customStyle="1" w:styleId="161">
    <w:name w:val="Font Style131"/>
    <w:autoRedefine/>
    <w:unhideWhenUsed/>
    <w:qFormat/>
    <w:uiPriority w:val="99"/>
    <w:rPr>
      <w:rFonts w:hint="eastAsia" w:ascii="Times New Roman" w:hAnsi="Times New Roman" w:eastAsia="Times New Roman"/>
      <w:sz w:val="18"/>
    </w:rPr>
  </w:style>
  <w:style w:type="character" w:customStyle="1" w:styleId="162">
    <w:name w:val="正文文本 Char1"/>
    <w:autoRedefine/>
    <w:qFormat/>
    <w:uiPriority w:val="0"/>
    <w:rPr>
      <w:kern w:val="2"/>
      <w:sz w:val="21"/>
      <w:szCs w:val="22"/>
    </w:rPr>
  </w:style>
  <w:style w:type="character" w:customStyle="1" w:styleId="163">
    <w:name w:val="文档结构图 Char1"/>
    <w:autoRedefine/>
    <w:qFormat/>
    <w:uiPriority w:val="0"/>
    <w:rPr>
      <w:rFonts w:ascii="宋体" w:hAnsi="Times New Roman" w:eastAsia="宋体" w:cs="Times New Roman"/>
      <w:sz w:val="18"/>
      <w:szCs w:val="18"/>
    </w:rPr>
  </w:style>
  <w:style w:type="character" w:customStyle="1" w:styleId="164">
    <w:name w:val="批注主题 字符"/>
    <w:autoRedefine/>
    <w:semiHidden/>
    <w:qFormat/>
    <w:uiPriority w:val="99"/>
    <w:rPr>
      <w:rFonts w:ascii="Calibri" w:hAnsi="Calibri" w:eastAsia="宋体" w:cs="Times New Roman"/>
      <w:b/>
      <w:bCs/>
      <w:kern w:val="2"/>
      <w:sz w:val="24"/>
      <w:szCs w:val="22"/>
    </w:rPr>
  </w:style>
  <w:style w:type="character" w:customStyle="1" w:styleId="165">
    <w:name w:val="页眉 Char1"/>
    <w:autoRedefine/>
    <w:semiHidden/>
    <w:qFormat/>
    <w:uiPriority w:val="99"/>
    <w:rPr>
      <w:rFonts w:ascii="Times New Roman" w:hAnsi="Times New Roman" w:eastAsia="宋体" w:cs="Times New Roman"/>
      <w:sz w:val="18"/>
      <w:szCs w:val="18"/>
    </w:rPr>
  </w:style>
  <w:style w:type="character" w:customStyle="1" w:styleId="166">
    <w:name w:val="纯文本 字符"/>
    <w:autoRedefine/>
    <w:qFormat/>
    <w:uiPriority w:val="0"/>
    <w:rPr>
      <w:rFonts w:ascii="宋体" w:hAnsi="宋体" w:cs="宋体"/>
      <w:kern w:val="2"/>
      <w:sz w:val="24"/>
      <w:szCs w:val="24"/>
      <w:lang w:val="en-US" w:eastAsia="zh-CN" w:bidi="ar-SA"/>
    </w:rPr>
  </w:style>
  <w:style w:type="character" w:customStyle="1" w:styleId="167">
    <w:name w:val="标题 8 字符"/>
    <w:autoRedefine/>
    <w:qFormat/>
    <w:uiPriority w:val="0"/>
    <w:rPr>
      <w:rFonts w:ascii="CG Times" w:hAnsi="CG Times"/>
      <w:sz w:val="22"/>
      <w:lang w:val="en-GB"/>
    </w:rPr>
  </w:style>
  <w:style w:type="paragraph" w:customStyle="1" w:styleId="168">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69">
    <w:name w:val="Aufzaehlung"/>
    <w:basedOn w:val="1"/>
    <w:autoRedefine/>
    <w:qFormat/>
    <w:uiPriority w:val="0"/>
    <w:pPr>
      <w:widowControl/>
      <w:spacing w:line="240" w:lineRule="atLeast"/>
      <w:ind w:left="284" w:hanging="284"/>
      <w:jc w:val="left"/>
    </w:pPr>
    <w:rPr>
      <w:rFonts w:ascii="Arial" w:hAnsi="Arial"/>
      <w:kern w:val="0"/>
      <w:sz w:val="22"/>
      <w:lang w:eastAsia="en-US"/>
    </w:rPr>
  </w:style>
  <w:style w:type="paragraph" w:customStyle="1" w:styleId="170">
    <w:name w:val="Char Char Char Char Char Char Char Char Char Char1"/>
    <w:basedOn w:val="1"/>
    <w:autoRedefine/>
    <w:qFormat/>
    <w:uiPriority w:val="0"/>
    <w:rPr>
      <w:rFonts w:ascii="Calibri" w:hAnsi="Calibri"/>
    </w:rPr>
  </w:style>
  <w:style w:type="paragraph" w:customStyle="1" w:styleId="171">
    <w:name w:val="Style21"/>
    <w:basedOn w:val="1"/>
    <w:autoRedefine/>
    <w:unhideWhenUsed/>
    <w:qFormat/>
    <w:uiPriority w:val="99"/>
    <w:pPr>
      <w:spacing w:line="566" w:lineRule="exact"/>
      <w:ind w:firstLine="682"/>
    </w:pPr>
    <w:rPr>
      <w:rFonts w:ascii="Calibri" w:hAnsi="Calibri"/>
    </w:rPr>
  </w:style>
  <w:style w:type="paragraph" w:customStyle="1" w:styleId="172">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73">
    <w:name w:val="Style29"/>
    <w:basedOn w:val="1"/>
    <w:autoRedefine/>
    <w:unhideWhenUsed/>
    <w:qFormat/>
    <w:uiPriority w:val="99"/>
    <w:pPr>
      <w:spacing w:line="547" w:lineRule="exact"/>
      <w:ind w:firstLine="547"/>
    </w:pPr>
    <w:rPr>
      <w:rFonts w:ascii="Calibri" w:hAnsi="Calibri"/>
    </w:rPr>
  </w:style>
  <w:style w:type="paragraph" w:customStyle="1" w:styleId="174">
    <w:name w:val="普通 (Web)"/>
    <w:basedOn w:val="1"/>
    <w:autoRedefine/>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175">
    <w:name w:val="Style50"/>
    <w:basedOn w:val="1"/>
    <w:autoRedefine/>
    <w:unhideWhenUsed/>
    <w:qFormat/>
    <w:uiPriority w:val="99"/>
    <w:rPr>
      <w:rFonts w:ascii="Calibri" w:hAnsi="Calibri"/>
    </w:rPr>
  </w:style>
  <w:style w:type="paragraph" w:customStyle="1" w:styleId="176">
    <w:name w:val="专用标题4"/>
    <w:basedOn w:val="5"/>
    <w:next w:val="1"/>
    <w:autoRedefine/>
    <w:qFormat/>
    <w:uiPriority w:val="0"/>
    <w:pPr>
      <w:widowControl/>
      <w:numPr>
        <w:ilvl w:val="2"/>
        <w:numId w:val="1"/>
      </w:numPr>
      <w:adjustRightInd w:val="0"/>
      <w:snapToGrid w:val="0"/>
      <w:spacing w:line="240" w:lineRule="auto"/>
      <w:jc w:val="left"/>
    </w:pPr>
    <w:rPr>
      <w:b w:val="0"/>
      <w:bCs w:val="0"/>
      <w:sz w:val="28"/>
      <w:szCs w:val="22"/>
      <w:lang w:val="en-US" w:eastAsia="zh-CN"/>
    </w:rPr>
  </w:style>
  <w:style w:type="paragraph" w:customStyle="1" w:styleId="177">
    <w:name w:val="修订21"/>
    <w:autoRedefine/>
    <w:qFormat/>
    <w:uiPriority w:val="0"/>
    <w:rPr>
      <w:rFonts w:ascii="Times New Roman" w:hAnsi="Times New Roman" w:eastAsia="宋体" w:cs="Times New Roman"/>
      <w:kern w:val="2"/>
      <w:sz w:val="21"/>
      <w:szCs w:val="24"/>
      <w:lang w:val="en-US" w:eastAsia="zh-CN" w:bidi="ar-SA"/>
    </w:rPr>
  </w:style>
  <w:style w:type="paragraph" w:customStyle="1" w:styleId="178">
    <w:name w:val="附件标题"/>
    <w:basedOn w:val="3"/>
    <w:next w:val="1"/>
    <w:autoRedefine/>
    <w:qFormat/>
    <w:uiPriority w:val="0"/>
    <w:pPr>
      <w:widowControl/>
      <w:numPr>
        <w:ilvl w:val="0"/>
        <w:numId w:val="2"/>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lang w:val="en-US" w:eastAsia="zh-CN"/>
    </w:rPr>
  </w:style>
  <w:style w:type="paragraph" w:customStyle="1" w:styleId="179">
    <w:name w:val="List ALPHA CAPS 1"/>
    <w:basedOn w:val="1"/>
    <w:next w:val="17"/>
    <w:autoRedefine/>
    <w:qFormat/>
    <w:uiPriority w:val="0"/>
    <w:pPr>
      <w:widowControl/>
      <w:numPr>
        <w:ilvl w:val="0"/>
        <w:numId w:val="3"/>
      </w:numPr>
      <w:tabs>
        <w:tab w:val="left" w:pos="22"/>
        <w:tab w:val="clear" w:pos="624"/>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80">
    <w:name w:val="Style12"/>
    <w:basedOn w:val="1"/>
    <w:autoRedefine/>
    <w:unhideWhenUsed/>
    <w:qFormat/>
    <w:uiPriority w:val="99"/>
    <w:pPr>
      <w:spacing w:line="564" w:lineRule="exact"/>
      <w:ind w:hanging="115"/>
    </w:pPr>
    <w:rPr>
      <w:rFonts w:ascii="Calibri" w:hAnsi="Calibri"/>
    </w:rPr>
  </w:style>
  <w:style w:type="paragraph" w:customStyle="1" w:styleId="181">
    <w:name w:val="Style63"/>
    <w:basedOn w:val="1"/>
    <w:autoRedefine/>
    <w:unhideWhenUsed/>
    <w:qFormat/>
    <w:uiPriority w:val="99"/>
    <w:pPr>
      <w:spacing w:line="564" w:lineRule="exact"/>
      <w:ind w:firstLine="682"/>
    </w:pPr>
    <w:rPr>
      <w:rFonts w:ascii="Calibri" w:hAnsi="Calibri"/>
    </w:rPr>
  </w:style>
  <w:style w:type="paragraph" w:customStyle="1" w:styleId="182">
    <w:name w:val="Style68"/>
    <w:basedOn w:val="1"/>
    <w:autoRedefine/>
    <w:unhideWhenUsed/>
    <w:qFormat/>
    <w:uiPriority w:val="99"/>
    <w:pPr>
      <w:spacing w:line="547" w:lineRule="exact"/>
    </w:pPr>
    <w:rPr>
      <w:rFonts w:ascii="Calibri" w:hAnsi="Calibri"/>
    </w:rPr>
  </w:style>
  <w:style w:type="paragraph" w:customStyle="1" w:styleId="183">
    <w:name w:val="Style13"/>
    <w:basedOn w:val="1"/>
    <w:autoRedefine/>
    <w:unhideWhenUsed/>
    <w:qFormat/>
    <w:uiPriority w:val="99"/>
    <w:rPr>
      <w:rFonts w:ascii="Calibri" w:hAnsi="Calibri"/>
    </w:rPr>
  </w:style>
  <w:style w:type="paragraph" w:customStyle="1" w:styleId="184">
    <w:name w:val="修订3"/>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85">
    <w:name w:val="标题2"/>
    <w:basedOn w:val="40"/>
    <w:autoRedefine/>
    <w:qFormat/>
    <w:uiPriority w:val="0"/>
    <w:pPr>
      <w:spacing w:after="240"/>
      <w:jc w:val="left"/>
    </w:pPr>
    <w:rPr>
      <w:sz w:val="30"/>
    </w:rPr>
  </w:style>
  <w:style w:type="paragraph" w:customStyle="1" w:styleId="186">
    <w:name w:val="Default"/>
    <w:autoRedefine/>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87">
    <w:name w:val="_Style 4"/>
    <w:basedOn w:val="1"/>
    <w:autoRedefine/>
    <w:qFormat/>
    <w:uiPriority w:val="34"/>
    <w:pPr>
      <w:widowControl/>
      <w:spacing w:line="120" w:lineRule="exact"/>
      <w:ind w:firstLine="420" w:firstLineChars="200"/>
      <w:jc w:val="left"/>
    </w:pPr>
    <w:rPr>
      <w:rFonts w:ascii="Calibri" w:hAnsi="Calibri"/>
      <w:sz w:val="18"/>
      <w:szCs w:val="18"/>
    </w:rPr>
  </w:style>
  <w:style w:type="paragraph" w:customStyle="1" w:styleId="188">
    <w:name w:val="Style10"/>
    <w:basedOn w:val="1"/>
    <w:autoRedefine/>
    <w:unhideWhenUsed/>
    <w:qFormat/>
    <w:uiPriority w:val="99"/>
    <w:pPr>
      <w:spacing w:line="538" w:lineRule="exact"/>
    </w:pPr>
    <w:rPr>
      <w:rFonts w:ascii="Calibri" w:hAnsi="Calibri"/>
    </w:rPr>
  </w:style>
  <w:style w:type="paragraph" w:customStyle="1" w:styleId="189">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90">
    <w:name w:val="Style46"/>
    <w:basedOn w:val="1"/>
    <w:autoRedefine/>
    <w:unhideWhenUsed/>
    <w:qFormat/>
    <w:uiPriority w:val="99"/>
    <w:pPr>
      <w:spacing w:line="672" w:lineRule="exact"/>
    </w:pPr>
    <w:rPr>
      <w:rFonts w:ascii="Calibri" w:hAnsi="Calibri"/>
    </w:rPr>
  </w:style>
  <w:style w:type="paragraph" w:customStyle="1" w:styleId="191">
    <w:name w:val="Style64"/>
    <w:basedOn w:val="1"/>
    <w:autoRedefine/>
    <w:unhideWhenUsed/>
    <w:qFormat/>
    <w:uiPriority w:val="99"/>
    <w:rPr>
      <w:rFonts w:ascii="Calibri" w:hAnsi="Calibri"/>
    </w:rPr>
  </w:style>
  <w:style w:type="paragraph" w:customStyle="1" w:styleId="192">
    <w:name w:val="Char2"/>
    <w:basedOn w:val="1"/>
    <w:autoRedefine/>
    <w:qFormat/>
    <w:uiPriority w:val="0"/>
    <w:pPr>
      <w:widowControl/>
      <w:spacing w:after="160" w:line="240" w:lineRule="exact"/>
      <w:jc w:val="left"/>
    </w:pPr>
    <w:rPr>
      <w:rFonts w:ascii="Calibri" w:hAnsi="Calibri"/>
    </w:rPr>
  </w:style>
  <w:style w:type="paragraph" w:customStyle="1" w:styleId="193">
    <w:name w:val="Style28"/>
    <w:basedOn w:val="1"/>
    <w:autoRedefine/>
    <w:unhideWhenUsed/>
    <w:qFormat/>
    <w:uiPriority w:val="99"/>
    <w:pPr>
      <w:spacing w:line="552" w:lineRule="exact"/>
      <w:ind w:firstLine="547"/>
    </w:pPr>
    <w:rPr>
      <w:rFonts w:ascii="Calibri" w:hAnsi="Calibri"/>
    </w:rPr>
  </w:style>
  <w:style w:type="paragraph" w:customStyle="1" w:styleId="194">
    <w:name w:val="LIST ALPHA CAPS 2"/>
    <w:basedOn w:val="1"/>
    <w:next w:val="37"/>
    <w:autoRedefine/>
    <w:qFormat/>
    <w:uiPriority w:val="0"/>
    <w:pPr>
      <w:widowControl/>
      <w:numPr>
        <w:ilvl w:val="1"/>
        <w:numId w:val="3"/>
      </w:numPr>
      <w:tabs>
        <w:tab w:val="left" w:pos="50"/>
        <w:tab w:val="clear" w:pos="1417"/>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95">
    <w:name w:val="_Style 31"/>
    <w:basedOn w:val="1"/>
    <w:autoRedefine/>
    <w:qFormat/>
    <w:uiPriority w:val="0"/>
    <w:rPr>
      <w:rFonts w:ascii="仿宋_GB2312" w:eastAsia="仿宋_GB2312"/>
      <w:kern w:val="0"/>
      <w:szCs w:val="20"/>
    </w:rPr>
  </w:style>
  <w:style w:type="paragraph" w:customStyle="1" w:styleId="196">
    <w:name w:val="Style5"/>
    <w:basedOn w:val="1"/>
    <w:autoRedefine/>
    <w:unhideWhenUsed/>
    <w:qFormat/>
    <w:uiPriority w:val="99"/>
    <w:rPr>
      <w:rFonts w:ascii="Calibri" w:hAnsi="Calibri"/>
    </w:rPr>
  </w:style>
  <w:style w:type="paragraph" w:customStyle="1" w:styleId="197">
    <w:name w:val="TOC 标题2"/>
    <w:basedOn w:val="2"/>
    <w:next w:val="1"/>
    <w:autoRedefine/>
    <w:qFormat/>
    <w:uiPriority w:val="0"/>
    <w:pPr>
      <w:keepLines/>
      <w:spacing w:before="340" w:after="330" w:line="576" w:lineRule="auto"/>
      <w:outlineLvl w:val="9"/>
    </w:pPr>
    <w:rPr>
      <w:rFonts w:ascii="Calibri" w:hAnsi="Calibri"/>
      <w:kern w:val="44"/>
      <w:sz w:val="44"/>
      <w:szCs w:val="44"/>
    </w:rPr>
  </w:style>
  <w:style w:type="paragraph" w:customStyle="1" w:styleId="198">
    <w:name w:val="Style76"/>
    <w:basedOn w:val="1"/>
    <w:autoRedefine/>
    <w:unhideWhenUsed/>
    <w:qFormat/>
    <w:uiPriority w:val="99"/>
    <w:rPr>
      <w:rFonts w:ascii="Calibri" w:hAnsi="Calibri"/>
    </w:rPr>
  </w:style>
  <w:style w:type="paragraph" w:customStyle="1" w:styleId="199">
    <w:name w:val="Char Char Char Char Char Char Char Char Char Char"/>
    <w:basedOn w:val="1"/>
    <w:autoRedefine/>
    <w:qFormat/>
    <w:uiPriority w:val="0"/>
    <w:rPr>
      <w:rFonts w:ascii="Calibri" w:hAnsi="Calibri"/>
    </w:rPr>
  </w:style>
  <w:style w:type="paragraph" w:customStyle="1" w:styleId="200">
    <w:name w:val="Style34"/>
    <w:basedOn w:val="1"/>
    <w:autoRedefine/>
    <w:unhideWhenUsed/>
    <w:qFormat/>
    <w:uiPriority w:val="99"/>
    <w:pPr>
      <w:spacing w:line="375" w:lineRule="exact"/>
    </w:pPr>
    <w:rPr>
      <w:rFonts w:ascii="Calibri" w:hAnsi="Calibri"/>
    </w:rPr>
  </w:style>
  <w:style w:type="paragraph" w:customStyle="1" w:styleId="201">
    <w:name w:val="Style73"/>
    <w:basedOn w:val="1"/>
    <w:autoRedefine/>
    <w:unhideWhenUsed/>
    <w:qFormat/>
    <w:uiPriority w:val="99"/>
    <w:pPr>
      <w:spacing w:line="538" w:lineRule="exact"/>
      <w:ind w:firstLine="533"/>
    </w:pPr>
    <w:rPr>
      <w:rFonts w:ascii="Calibri" w:hAnsi="Calibri"/>
    </w:rPr>
  </w:style>
  <w:style w:type="paragraph" w:customStyle="1" w:styleId="202">
    <w:name w:val="List Paragraph1"/>
    <w:basedOn w:val="1"/>
    <w:autoRedefine/>
    <w:qFormat/>
    <w:uiPriority w:val="0"/>
    <w:pPr>
      <w:ind w:firstLine="420" w:firstLineChars="200"/>
    </w:pPr>
    <w:rPr>
      <w:rFonts w:ascii="Calibri" w:hAnsi="Calibri"/>
      <w:szCs w:val="22"/>
    </w:rPr>
  </w:style>
  <w:style w:type="paragraph" w:customStyle="1" w:styleId="203">
    <w:name w:val="正文文本2"/>
    <w:basedOn w:val="1"/>
    <w:autoRedefine/>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204">
    <w:name w:val="Style16"/>
    <w:basedOn w:val="1"/>
    <w:autoRedefine/>
    <w:unhideWhenUsed/>
    <w:qFormat/>
    <w:uiPriority w:val="99"/>
    <w:pPr>
      <w:jc w:val="right"/>
    </w:pPr>
    <w:rPr>
      <w:rFonts w:ascii="Calibri" w:hAnsi="Calibri"/>
    </w:rPr>
  </w:style>
  <w:style w:type="paragraph" w:customStyle="1" w:styleId="205">
    <w:name w:val="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07">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208">
    <w:name w:val="Char Char Char Char Char Char Char1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209">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10">
    <w:name w:val="Style8"/>
    <w:basedOn w:val="1"/>
    <w:autoRedefine/>
    <w:unhideWhenUsed/>
    <w:qFormat/>
    <w:uiPriority w:val="99"/>
    <w:pPr>
      <w:spacing w:line="566" w:lineRule="exact"/>
      <w:jc w:val="center"/>
    </w:pPr>
    <w:rPr>
      <w:rFonts w:ascii="Calibri" w:hAnsi="Calibri"/>
    </w:rPr>
  </w:style>
  <w:style w:type="paragraph" w:customStyle="1" w:styleId="211">
    <w:name w:val="Style53"/>
    <w:basedOn w:val="1"/>
    <w:autoRedefine/>
    <w:unhideWhenUsed/>
    <w:qFormat/>
    <w:uiPriority w:val="99"/>
    <w:pPr>
      <w:spacing w:line="533" w:lineRule="exact"/>
      <w:ind w:firstLine="581"/>
    </w:pPr>
    <w:rPr>
      <w:rFonts w:ascii="Calibri" w:hAnsi="Calibri"/>
    </w:rPr>
  </w:style>
  <w:style w:type="paragraph" w:customStyle="1" w:styleId="212">
    <w:name w:val="Style61"/>
    <w:basedOn w:val="1"/>
    <w:autoRedefine/>
    <w:unhideWhenUsed/>
    <w:qFormat/>
    <w:uiPriority w:val="99"/>
    <w:rPr>
      <w:rFonts w:ascii="Calibri" w:hAnsi="Calibri"/>
    </w:rPr>
  </w:style>
  <w:style w:type="paragraph" w:customStyle="1" w:styleId="213">
    <w:name w:val="Style4"/>
    <w:basedOn w:val="1"/>
    <w:autoRedefine/>
    <w:unhideWhenUsed/>
    <w:qFormat/>
    <w:uiPriority w:val="99"/>
    <w:rPr>
      <w:rFonts w:ascii="Calibri" w:hAnsi="Calibri"/>
    </w:rPr>
  </w:style>
  <w:style w:type="paragraph" w:customStyle="1" w:styleId="214">
    <w:name w:val="修订2"/>
    <w:autoRedefine/>
    <w:qFormat/>
    <w:uiPriority w:val="99"/>
    <w:rPr>
      <w:rFonts w:ascii="Calibri" w:hAnsi="Calibri" w:eastAsia="宋体" w:cs="Times New Roman"/>
      <w:kern w:val="2"/>
      <w:sz w:val="21"/>
      <w:szCs w:val="24"/>
      <w:lang w:val="en-US" w:eastAsia="zh-CN" w:bidi="ar-SA"/>
    </w:rPr>
  </w:style>
  <w:style w:type="paragraph" w:customStyle="1" w:styleId="215">
    <w:name w:val="through-content"/>
    <w:basedOn w:val="1"/>
    <w:autoRedefine/>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16">
    <w:name w:val="Char1 Char Char Char 字元 Char Char 字元 Char 字元 Char1 Char Char Char"/>
    <w:basedOn w:val="1"/>
    <w:autoRedefine/>
    <w:qFormat/>
    <w:uiPriority w:val="0"/>
  </w:style>
  <w:style w:type="paragraph" w:customStyle="1" w:styleId="217">
    <w:name w:val="Style71"/>
    <w:basedOn w:val="1"/>
    <w:autoRedefine/>
    <w:unhideWhenUsed/>
    <w:qFormat/>
    <w:uiPriority w:val="99"/>
    <w:pPr>
      <w:spacing w:line="538" w:lineRule="exact"/>
      <w:ind w:firstLine="101"/>
    </w:pPr>
    <w:rPr>
      <w:rFonts w:ascii="Calibri" w:hAnsi="Calibri"/>
    </w:rPr>
  </w:style>
  <w:style w:type="paragraph" w:customStyle="1" w:styleId="218">
    <w:name w:val="样式8"/>
    <w:basedOn w:val="1"/>
    <w:autoRedefine/>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19">
    <w:name w:val="Style70"/>
    <w:basedOn w:val="1"/>
    <w:autoRedefine/>
    <w:unhideWhenUsed/>
    <w:qFormat/>
    <w:uiPriority w:val="99"/>
    <w:pPr>
      <w:spacing w:line="549" w:lineRule="exact"/>
      <w:ind w:firstLine="686"/>
    </w:pPr>
    <w:rPr>
      <w:rFonts w:ascii="Calibri" w:hAnsi="Calibri"/>
    </w:rPr>
  </w:style>
  <w:style w:type="paragraph" w:customStyle="1" w:styleId="220">
    <w:name w:val="CM99"/>
    <w:basedOn w:val="1"/>
    <w:next w:val="1"/>
    <w:autoRedefine/>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221">
    <w:name w:val="Style69"/>
    <w:basedOn w:val="1"/>
    <w:autoRedefine/>
    <w:unhideWhenUsed/>
    <w:qFormat/>
    <w:uiPriority w:val="99"/>
    <w:pPr>
      <w:spacing w:line="557" w:lineRule="exact"/>
      <w:ind w:firstLine="1666"/>
    </w:pPr>
    <w:rPr>
      <w:rFonts w:ascii="Calibri" w:hAnsi="Calibri"/>
    </w:rPr>
  </w:style>
  <w:style w:type="paragraph" w:customStyle="1" w:styleId="222">
    <w:name w:val="通用标题7"/>
    <w:basedOn w:val="1"/>
    <w:autoRedefine/>
    <w:qFormat/>
    <w:uiPriority w:val="0"/>
    <w:pPr>
      <w:widowControl/>
      <w:numPr>
        <w:ilvl w:val="5"/>
        <w:numId w:val="5"/>
      </w:numPr>
      <w:wordWrap w:val="0"/>
      <w:topLinePunct/>
      <w:adjustRightInd w:val="0"/>
      <w:snapToGrid w:val="0"/>
      <w:spacing w:after="120" w:afterLines="50" w:line="360" w:lineRule="auto"/>
      <w:ind w:firstLineChars="200"/>
    </w:pPr>
    <w:rPr>
      <w:rFonts w:ascii="宋体" w:hAnsi="宋体"/>
      <w:kern w:val="0"/>
      <w:sz w:val="24"/>
      <w:szCs w:val="20"/>
    </w:rPr>
  </w:style>
  <w:style w:type="paragraph" w:customStyle="1" w:styleId="22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Title 5"/>
    <w:next w:val="225"/>
    <w:autoRedefine/>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225">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226">
    <w:name w:val="Title 4"/>
    <w:next w:val="207"/>
    <w:autoRedefine/>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22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28">
    <w:name w:val="附件标题1"/>
    <w:next w:val="1"/>
    <w:autoRedefine/>
    <w:qFormat/>
    <w:uiPriority w:val="0"/>
    <w:pPr>
      <w:numPr>
        <w:ilvl w:val="0"/>
        <w:numId w:val="8"/>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29">
    <w:name w:val="Style77"/>
    <w:basedOn w:val="1"/>
    <w:autoRedefine/>
    <w:unhideWhenUsed/>
    <w:qFormat/>
    <w:uiPriority w:val="99"/>
    <w:rPr>
      <w:rFonts w:ascii="Calibri" w:hAnsi="Calibri"/>
    </w:rPr>
  </w:style>
  <w:style w:type="paragraph" w:customStyle="1" w:styleId="230">
    <w:name w:val="Style42"/>
    <w:basedOn w:val="1"/>
    <w:autoRedefine/>
    <w:unhideWhenUsed/>
    <w:qFormat/>
    <w:uiPriority w:val="99"/>
    <w:pPr>
      <w:spacing w:line="542" w:lineRule="exact"/>
      <w:ind w:firstLine="547"/>
    </w:pPr>
    <w:rPr>
      <w:rFonts w:ascii="Calibri" w:hAnsi="Calibri"/>
    </w:rPr>
  </w:style>
  <w:style w:type="paragraph" w:customStyle="1" w:styleId="231">
    <w:name w:val="样式3"/>
    <w:basedOn w:val="4"/>
    <w:autoRedefine/>
    <w:qFormat/>
    <w:uiPriority w:val="0"/>
    <w:pPr>
      <w:jc w:val="left"/>
    </w:pPr>
    <w:rPr>
      <w:b w:val="0"/>
      <w:bCs w:val="0"/>
      <w:kern w:val="2"/>
      <w:sz w:val="28"/>
      <w:szCs w:val="28"/>
    </w:rPr>
  </w:style>
  <w:style w:type="paragraph" w:customStyle="1" w:styleId="232">
    <w:name w:val="Style27"/>
    <w:basedOn w:val="1"/>
    <w:autoRedefine/>
    <w:unhideWhenUsed/>
    <w:qFormat/>
    <w:uiPriority w:val="99"/>
    <w:rPr>
      <w:rFonts w:ascii="Calibri" w:hAnsi="Calibri"/>
    </w:rPr>
  </w:style>
  <w:style w:type="paragraph" w:customStyle="1" w:styleId="233">
    <w:name w:val="Style48"/>
    <w:basedOn w:val="1"/>
    <w:autoRedefine/>
    <w:unhideWhenUsed/>
    <w:qFormat/>
    <w:uiPriority w:val="99"/>
    <w:pPr>
      <w:spacing w:line="542" w:lineRule="exact"/>
      <w:jc w:val="right"/>
    </w:pPr>
    <w:rPr>
      <w:rFonts w:ascii="Calibri" w:hAnsi="Calibri"/>
    </w:rPr>
  </w:style>
  <w:style w:type="paragraph" w:customStyle="1" w:styleId="234">
    <w:name w:val="通用标题2"/>
    <w:basedOn w:val="3"/>
    <w:next w:val="1"/>
    <w:autoRedefine/>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lang w:val="en-US" w:eastAsia="zh-CN"/>
    </w:rPr>
  </w:style>
  <w:style w:type="paragraph" w:customStyle="1" w:styleId="235">
    <w:name w:val="Style36"/>
    <w:basedOn w:val="1"/>
    <w:autoRedefine/>
    <w:unhideWhenUsed/>
    <w:qFormat/>
    <w:uiPriority w:val="99"/>
    <w:rPr>
      <w:rFonts w:ascii="Calibri" w:hAnsi="Calibri"/>
    </w:rPr>
  </w:style>
  <w:style w:type="paragraph" w:customStyle="1" w:styleId="236">
    <w:name w:val="Style9"/>
    <w:basedOn w:val="1"/>
    <w:autoRedefine/>
    <w:unhideWhenUsed/>
    <w:qFormat/>
    <w:uiPriority w:val="99"/>
    <w:rPr>
      <w:rFonts w:ascii="Calibri" w:hAnsi="Calibri"/>
    </w:rPr>
  </w:style>
  <w:style w:type="paragraph" w:customStyle="1" w:styleId="237">
    <w:name w:val="TOC 标题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238">
    <w:name w:val="Style44"/>
    <w:basedOn w:val="1"/>
    <w:autoRedefine/>
    <w:unhideWhenUsed/>
    <w:qFormat/>
    <w:uiPriority w:val="99"/>
    <w:rPr>
      <w:rFonts w:ascii="Calibri" w:hAnsi="Calibri"/>
    </w:rPr>
  </w:style>
  <w:style w:type="paragraph" w:customStyle="1" w:styleId="239">
    <w:name w:val="专用标题2"/>
    <w:basedOn w:val="3"/>
    <w:next w:val="1"/>
    <w:autoRedefine/>
    <w:qFormat/>
    <w:uiPriority w:val="0"/>
    <w:pPr>
      <w:keepNext w:val="0"/>
      <w:keepLines w:val="0"/>
      <w:widowControl/>
      <w:tabs>
        <w:tab w:val="left" w:pos="993"/>
      </w:tabs>
      <w:adjustRightInd w:val="0"/>
      <w:snapToGrid w:val="0"/>
      <w:spacing w:before="0" w:after="120" w:afterLines="50" w:line="360" w:lineRule="auto"/>
    </w:pPr>
    <w:rPr>
      <w:rFonts w:ascii="宋体" w:hAnsi="宋体" w:cs="Times"/>
      <w:bCs w:val="0"/>
      <w:kern w:val="0"/>
      <w:sz w:val="28"/>
      <w:szCs w:val="20"/>
      <w:lang w:val="en-US" w:eastAsia="zh-CN"/>
    </w:rPr>
  </w:style>
  <w:style w:type="paragraph" w:customStyle="1" w:styleId="240">
    <w:name w:val="Char Char Char Char Char Char Char Char Char Char Char Char Char"/>
    <w:basedOn w:val="1"/>
    <w:autoRedefine/>
    <w:qFormat/>
    <w:uiPriority w:val="0"/>
    <w:rPr>
      <w:rFonts w:ascii="宋体" w:hAnsi="宋体"/>
      <w:sz w:val="24"/>
    </w:rPr>
  </w:style>
  <w:style w:type="paragraph" w:customStyle="1" w:styleId="241">
    <w:name w:val="标题 1 +"/>
    <w:basedOn w:val="2"/>
    <w:next w:val="1"/>
    <w:autoRedefine/>
    <w:qFormat/>
    <w:uiPriority w:val="0"/>
    <w:pPr>
      <w:keepLines/>
      <w:spacing w:before="0" w:after="0" w:line="600" w:lineRule="auto"/>
      <w:jc w:val="center"/>
    </w:pPr>
    <w:rPr>
      <w:rFonts w:ascii="Times New Roman" w:hAnsi="Times New Roman" w:eastAsia="黑体"/>
      <w:kern w:val="0"/>
    </w:rPr>
  </w:style>
  <w:style w:type="paragraph" w:customStyle="1" w:styleId="2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43">
    <w:name w:val="_Style 39"/>
    <w:basedOn w:val="244"/>
    <w:autoRedefine/>
    <w:qFormat/>
    <w:uiPriority w:val="0"/>
  </w:style>
  <w:style w:type="paragraph" w:customStyle="1" w:styleId="244">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标题3"/>
    <w:basedOn w:val="2"/>
    <w:autoRedefine/>
    <w:qFormat/>
    <w:uiPriority w:val="0"/>
    <w:pPr>
      <w:spacing w:beforeLines="50" w:afterLines="50" w:line="400" w:lineRule="exact"/>
    </w:pPr>
    <w:rPr>
      <w:rFonts w:ascii="宋体" w:hAnsi="宋体"/>
      <w:sz w:val="24"/>
    </w:rPr>
  </w:style>
  <w:style w:type="paragraph" w:customStyle="1" w:styleId="246">
    <w:name w:val="Style41"/>
    <w:basedOn w:val="1"/>
    <w:autoRedefine/>
    <w:unhideWhenUsed/>
    <w:qFormat/>
    <w:uiPriority w:val="99"/>
    <w:pPr>
      <w:spacing w:line="542" w:lineRule="exact"/>
      <w:ind w:firstLine="125"/>
    </w:pPr>
    <w:rPr>
      <w:rFonts w:ascii="Calibri" w:hAnsi="Calibri"/>
    </w:rPr>
  </w:style>
  <w:style w:type="paragraph" w:customStyle="1" w:styleId="247">
    <w:name w:val="样式2"/>
    <w:basedOn w:val="2"/>
    <w:autoRedefine/>
    <w:qFormat/>
    <w:uiPriority w:val="0"/>
    <w:pPr>
      <w:jc w:val="left"/>
    </w:pPr>
    <w:rPr>
      <w:rFonts w:ascii="Times New Roman" w:hAnsi="Times New Roman"/>
      <w:b w:val="0"/>
      <w:bCs w:val="0"/>
      <w:kern w:val="2"/>
      <w:sz w:val="28"/>
      <w:szCs w:val="21"/>
    </w:rPr>
  </w:style>
  <w:style w:type="paragraph" w:customStyle="1" w:styleId="248">
    <w:name w:val="Style23"/>
    <w:basedOn w:val="1"/>
    <w:autoRedefine/>
    <w:unhideWhenUsed/>
    <w:qFormat/>
    <w:uiPriority w:val="99"/>
    <w:rPr>
      <w:rFonts w:ascii="Calibri" w:hAnsi="Calibri"/>
    </w:rPr>
  </w:style>
  <w:style w:type="paragraph" w:customStyle="1" w:styleId="249">
    <w:name w:val="Char Char Char Char Char Char Char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250">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5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2">
    <w:name w:val="Char Char Char Char Char Char Char Char Char"/>
    <w:basedOn w:val="1"/>
    <w:autoRedefine/>
    <w:qFormat/>
    <w:uiPriority w:val="0"/>
    <w:pPr>
      <w:spacing w:line="360" w:lineRule="auto"/>
      <w:ind w:firstLine="200" w:firstLineChars="200"/>
    </w:pPr>
  </w:style>
  <w:style w:type="paragraph" w:customStyle="1" w:styleId="253">
    <w:name w:val="1 Char Char Char Char"/>
    <w:basedOn w:val="244"/>
    <w:autoRedefine/>
    <w:qFormat/>
    <w:uiPriority w:val="0"/>
  </w:style>
  <w:style w:type="paragraph" w:customStyle="1" w:styleId="254">
    <w:name w:val="CM91"/>
    <w:basedOn w:val="1"/>
    <w:next w:val="1"/>
    <w:autoRedefine/>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55">
    <w:name w:val="Style11"/>
    <w:basedOn w:val="1"/>
    <w:autoRedefine/>
    <w:unhideWhenUsed/>
    <w:qFormat/>
    <w:uiPriority w:val="99"/>
    <w:pPr>
      <w:spacing w:line="559" w:lineRule="exact"/>
      <w:ind w:firstLine="590"/>
    </w:pPr>
    <w:rPr>
      <w:rFonts w:ascii="Calibri" w:hAnsi="Calibri"/>
    </w:rPr>
  </w:style>
  <w:style w:type="paragraph" w:customStyle="1" w:styleId="256">
    <w:name w:val="Style72"/>
    <w:basedOn w:val="1"/>
    <w:autoRedefine/>
    <w:unhideWhenUsed/>
    <w:qFormat/>
    <w:uiPriority w:val="99"/>
    <w:rPr>
      <w:rFonts w:ascii="Calibri" w:hAnsi="Calibri"/>
    </w:rPr>
  </w:style>
  <w:style w:type="paragraph" w:customStyle="1" w:styleId="257">
    <w:name w:val="列出段落21"/>
    <w:basedOn w:val="1"/>
    <w:autoRedefine/>
    <w:qFormat/>
    <w:uiPriority w:val="0"/>
    <w:pPr>
      <w:ind w:firstLine="200" w:firstLineChars="200"/>
    </w:pPr>
    <w:rPr>
      <w:rFonts w:ascii="Calibri" w:hAnsi="Calibri"/>
      <w:szCs w:val="22"/>
    </w:rPr>
  </w:style>
  <w:style w:type="paragraph" w:customStyle="1" w:styleId="258">
    <w:name w:val="通用标题6"/>
    <w:basedOn w:val="1"/>
    <w:autoRedefine/>
    <w:qFormat/>
    <w:uiPriority w:val="0"/>
    <w:pPr>
      <w:widowControl/>
      <w:numPr>
        <w:ilvl w:val="4"/>
        <w:numId w:val="4"/>
      </w:numPr>
      <w:tabs>
        <w:tab w:val="left" w:pos="993"/>
      </w:tabs>
      <w:adjustRightInd w:val="0"/>
      <w:snapToGrid w:val="0"/>
      <w:spacing w:after="120" w:afterLines="50" w:line="360" w:lineRule="auto"/>
      <w:ind w:left="310"/>
    </w:pPr>
    <w:rPr>
      <w:rFonts w:ascii="宋体" w:hAnsi="宋体"/>
      <w:kern w:val="0"/>
      <w:sz w:val="24"/>
      <w:szCs w:val="20"/>
    </w:rPr>
  </w:style>
  <w:style w:type="paragraph" w:customStyle="1" w:styleId="25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61">
    <w:name w:val="_Style 26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列出段落1"/>
    <w:basedOn w:val="1"/>
    <w:autoRedefine/>
    <w:qFormat/>
    <w:uiPriority w:val="99"/>
    <w:pPr>
      <w:ind w:firstLine="420" w:firstLineChars="200"/>
    </w:pPr>
  </w:style>
  <w:style w:type="paragraph" w:customStyle="1" w:styleId="263">
    <w:name w:val="列出段落2"/>
    <w:basedOn w:val="1"/>
    <w:autoRedefine/>
    <w:qFormat/>
    <w:uiPriority w:val="0"/>
    <w:pPr>
      <w:ind w:firstLine="200" w:firstLineChars="200"/>
    </w:pPr>
    <w:rPr>
      <w:rFonts w:ascii="Calibri" w:hAnsi="Calibri"/>
      <w:szCs w:val="22"/>
    </w:rPr>
  </w:style>
  <w:style w:type="paragraph" w:customStyle="1" w:styleId="264">
    <w:name w:val="LIST ALPHA CAPS 3"/>
    <w:basedOn w:val="1"/>
    <w:next w:val="16"/>
    <w:autoRedefine/>
    <w:qFormat/>
    <w:uiPriority w:val="0"/>
    <w:pPr>
      <w:widowControl/>
      <w:numPr>
        <w:ilvl w:val="2"/>
        <w:numId w:val="3"/>
      </w:numPr>
      <w:tabs>
        <w:tab w:val="left" w:pos="68"/>
        <w:tab w:val="clear" w:pos="1928"/>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265">
    <w:name w:val="Style24"/>
    <w:basedOn w:val="1"/>
    <w:autoRedefine/>
    <w:unhideWhenUsed/>
    <w:qFormat/>
    <w:uiPriority w:val="99"/>
    <w:rPr>
      <w:rFonts w:ascii="Calibri" w:hAnsi="Calibri"/>
    </w:rPr>
  </w:style>
  <w:style w:type="paragraph" w:customStyle="1" w:styleId="266">
    <w:name w:val="Style78"/>
    <w:basedOn w:val="1"/>
    <w:autoRedefine/>
    <w:unhideWhenUsed/>
    <w:qFormat/>
    <w:uiPriority w:val="99"/>
    <w:rPr>
      <w:rFonts w:ascii="Calibri" w:hAnsi="Calibri"/>
    </w:rPr>
  </w:style>
  <w:style w:type="paragraph" w:customStyle="1" w:styleId="267">
    <w:name w:val="样式 图表 + 五号"/>
    <w:basedOn w:val="1"/>
    <w:autoRedefine/>
    <w:qFormat/>
    <w:uiPriority w:val="0"/>
    <w:pPr>
      <w:spacing w:line="360" w:lineRule="auto"/>
      <w:ind w:left="-61" w:leftChars="-29" w:firstLine="522" w:firstLineChars="200"/>
    </w:pPr>
    <w:rPr>
      <w:rFonts w:ascii="宋体" w:hAnsi="宋体"/>
      <w:b/>
      <w:color w:val="FF0000"/>
      <w:spacing w:val="-10"/>
      <w:sz w:val="28"/>
      <w:szCs w:val="28"/>
    </w:rPr>
  </w:style>
  <w:style w:type="paragraph" w:styleId="268">
    <w:name w:val="List Paragraph"/>
    <w:basedOn w:val="1"/>
    <w:autoRedefine/>
    <w:qFormat/>
    <w:uiPriority w:val="34"/>
    <w:pPr>
      <w:ind w:firstLine="420" w:firstLineChars="200"/>
    </w:pPr>
    <w:rPr>
      <w:rFonts w:ascii="Calibri" w:hAnsi="Calibri"/>
      <w:szCs w:val="22"/>
    </w:rPr>
  </w:style>
  <w:style w:type="paragraph" w:customStyle="1" w:styleId="269">
    <w:name w:val="Table Paragraph"/>
    <w:basedOn w:val="1"/>
    <w:autoRedefine/>
    <w:qFormat/>
    <w:uiPriority w:val="1"/>
    <w:pPr>
      <w:autoSpaceDE w:val="0"/>
      <w:autoSpaceDN w:val="0"/>
      <w:adjustRightInd w:val="0"/>
      <w:jc w:val="left"/>
    </w:pPr>
    <w:rPr>
      <w:kern w:val="0"/>
      <w:sz w:val="24"/>
    </w:rPr>
  </w:style>
  <w:style w:type="paragraph" w:customStyle="1" w:styleId="270">
    <w:name w:val="Style26"/>
    <w:basedOn w:val="1"/>
    <w:autoRedefine/>
    <w:unhideWhenUsed/>
    <w:qFormat/>
    <w:uiPriority w:val="99"/>
    <w:rPr>
      <w:rFonts w:ascii="Calibri" w:hAnsi="Calibri"/>
    </w:rPr>
  </w:style>
  <w:style w:type="paragraph" w:customStyle="1" w:styleId="271">
    <w:name w:val="Style45"/>
    <w:basedOn w:val="1"/>
    <w:autoRedefine/>
    <w:unhideWhenUsed/>
    <w:qFormat/>
    <w:uiPriority w:val="99"/>
    <w:rPr>
      <w:rFonts w:ascii="Calibri" w:hAnsi="Calibri"/>
    </w:rPr>
  </w:style>
  <w:style w:type="paragraph" w:customStyle="1" w:styleId="272">
    <w:name w:val="专用标题3"/>
    <w:basedOn w:val="4"/>
    <w:autoRedefine/>
    <w:qFormat/>
    <w:uiPriority w:val="0"/>
    <w:pPr>
      <w:keepNext/>
      <w:keepLines/>
      <w:numPr>
        <w:ilvl w:val="1"/>
        <w:numId w:val="1"/>
      </w:numPr>
      <w:wordWrap w:val="0"/>
      <w:topLinePunct/>
      <w:adjustRightInd w:val="0"/>
      <w:snapToGrid w:val="0"/>
      <w:spacing w:after="120" w:afterLines="50"/>
      <w:jc w:val="left"/>
    </w:pPr>
    <w:rPr>
      <w:rFonts w:ascii="宋体" w:hAnsi="Calibri"/>
      <w:bCs w:val="0"/>
      <w:kern w:val="2"/>
      <w:szCs w:val="22"/>
    </w:rPr>
  </w:style>
  <w:style w:type="paragraph" w:customStyle="1" w:styleId="273">
    <w:name w:val="Style62"/>
    <w:basedOn w:val="1"/>
    <w:autoRedefine/>
    <w:unhideWhenUsed/>
    <w:qFormat/>
    <w:uiPriority w:val="99"/>
    <w:rPr>
      <w:rFonts w:ascii="Calibri" w:hAnsi="Calibri"/>
    </w:rPr>
  </w:style>
  <w:style w:type="paragraph" w:customStyle="1" w:styleId="274">
    <w:name w:val="Char"/>
    <w:basedOn w:val="1"/>
    <w:autoRedefine/>
    <w:qFormat/>
    <w:uiPriority w:val="0"/>
    <w:rPr>
      <w:rFonts w:ascii="Tahoma" w:hAnsi="Tahoma" w:eastAsia="仿宋_GB2312"/>
      <w:sz w:val="24"/>
      <w:szCs w:val="20"/>
    </w:rPr>
  </w:style>
  <w:style w:type="paragraph" w:customStyle="1" w:styleId="275">
    <w:name w:val="Style52"/>
    <w:basedOn w:val="1"/>
    <w:autoRedefine/>
    <w:unhideWhenUsed/>
    <w:qFormat/>
    <w:uiPriority w:val="99"/>
    <w:pPr>
      <w:spacing w:line="682" w:lineRule="exact"/>
      <w:ind w:firstLine="557"/>
    </w:pPr>
    <w:rPr>
      <w:rFonts w:ascii="Calibri" w:hAnsi="Calibri"/>
    </w:rPr>
  </w:style>
  <w:style w:type="paragraph" w:customStyle="1" w:styleId="276">
    <w:name w:val="Char Char"/>
    <w:basedOn w:val="1"/>
    <w:autoRedefine/>
    <w:qFormat/>
    <w:uiPriority w:val="0"/>
  </w:style>
  <w:style w:type="paragraph" w:customStyle="1" w:styleId="277">
    <w:name w:val="TOC 标题1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278">
    <w:name w:val="Style15"/>
    <w:basedOn w:val="1"/>
    <w:autoRedefine/>
    <w:unhideWhenUsed/>
    <w:qFormat/>
    <w:uiPriority w:val="99"/>
    <w:pPr>
      <w:spacing w:line="557" w:lineRule="exact"/>
      <w:ind w:firstLine="672"/>
    </w:pPr>
    <w:rPr>
      <w:rFonts w:ascii="Calibri" w:hAnsi="Calibri"/>
    </w:rPr>
  </w:style>
  <w:style w:type="paragraph" w:customStyle="1" w:styleId="279">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0">
    <w:name w:val="协议书标题2"/>
    <w:basedOn w:val="3"/>
    <w:next w:val="1"/>
    <w:autoRedefine/>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ind w:firstLine="0"/>
      <w:jc w:val="left"/>
    </w:pPr>
    <w:rPr>
      <w:rFonts w:ascii="宋体" w:hAnsi="宋体"/>
      <w:bCs w:val="0"/>
      <w:kern w:val="0"/>
      <w:sz w:val="24"/>
      <w:szCs w:val="20"/>
      <w:lang w:val="en-US" w:eastAsia="zh-CN"/>
    </w:rPr>
  </w:style>
  <w:style w:type="paragraph" w:styleId="28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样式 标题 3 + (中文) 黑体 小四 非加粗 段前: 7.8 磅 段后: 0 磅 行距: 固定值 20 磅"/>
    <w:basedOn w:val="4"/>
    <w:autoRedefine/>
    <w:qFormat/>
    <w:uiPriority w:val="0"/>
    <w:pPr>
      <w:keepNext/>
      <w:keepLines/>
      <w:widowControl w:val="0"/>
      <w:spacing w:line="400" w:lineRule="exact"/>
    </w:pPr>
    <w:rPr>
      <w:rFonts w:eastAsia="黑体" w:cs="宋体"/>
      <w:b w:val="0"/>
      <w:bCs w:val="0"/>
      <w:kern w:val="2"/>
      <w:szCs w:val="20"/>
      <w:lang w:val="en-US"/>
    </w:rPr>
  </w:style>
  <w:style w:type="paragraph" w:customStyle="1" w:styleId="283">
    <w:name w:val="_Style 36"/>
    <w:autoRedefine/>
    <w:qFormat/>
    <w:uiPriority w:val="0"/>
    <w:rPr>
      <w:rFonts w:ascii="Times New Roman" w:hAnsi="Times New Roman" w:eastAsia="宋体" w:cs="Times New Roman"/>
      <w:kern w:val="2"/>
      <w:sz w:val="21"/>
      <w:szCs w:val="24"/>
      <w:lang w:val="en-US" w:eastAsia="zh-CN" w:bidi="ar-SA"/>
    </w:rPr>
  </w:style>
  <w:style w:type="paragraph" w:customStyle="1" w:styleId="284">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85">
    <w:name w:val="默认段落字体 Para Char Char Char Char Char Char Char Char Char Char Char Char Char Char Char Char Char Char Char"/>
    <w:basedOn w:val="1"/>
    <w:autoRedefine/>
    <w:qFormat/>
    <w:uiPriority w:val="0"/>
  </w:style>
  <w:style w:type="paragraph" w:customStyle="1" w:styleId="286">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87">
    <w:name w:val="TableGrid"/>
    <w:autoRedefine/>
    <w:qFormat/>
    <w:uiPriority w:val="0"/>
    <w:rPr>
      <w:lang w:val="en-US" w:eastAsia="zh-CN" w:bidi="ar-SA"/>
    </w:rPr>
    <w:tblPr>
      <w:tblCellMar>
        <w:top w:w="0" w:type="dxa"/>
        <w:left w:w="0" w:type="dxa"/>
        <w:bottom w:w="0" w:type="dxa"/>
        <w:right w:w="0" w:type="dxa"/>
      </w:tblCellMar>
    </w:tblPr>
  </w:style>
  <w:style w:type="table" w:customStyle="1" w:styleId="288">
    <w:name w:val="网格型1"/>
    <w:basedOn w:val="42"/>
    <w:autoRedefine/>
    <w:qFormat/>
    <w:uiPriority w:val="39"/>
    <w:rPr>
      <w:rFonts w:eastAsia="Times New Roman"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54239</Words>
  <Characters>57108</Characters>
  <Lines>567</Lines>
  <Paragraphs>159</Paragraphs>
  <TotalTime>4</TotalTime>
  <ScaleCrop>false</ScaleCrop>
  <LinksUpToDate>false</LinksUpToDate>
  <CharactersWithSpaces>68786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2021-03-30T01:11:00Z</dcterms:created>
  <dc:creator>User</dc:creator>
  <cp:lastModifiedBy>#</cp:lastModifiedBy>
  <cp:lastPrinted>2024-05-07T02:12:00Z</cp:lastPrinted>
  <dcterms:modified xsi:type="dcterms:W3CDTF">2024-05-13T04:00:00Z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247D3EDADC9847AB9A9A9CA6AC0A5833_13</vt:lpwstr>
  </property>
</Properties>
</file>